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2F" w:rsidRPr="001E3568" w:rsidRDefault="0013692F" w:rsidP="0013692F">
      <w:pPr>
        <w:ind w:left="6520" w:firstLine="1304"/>
        <w:jc w:val="both"/>
        <w:rPr>
          <w:bCs/>
          <w:i/>
          <w:sz w:val="24"/>
          <w:szCs w:val="24"/>
          <w:lang w:val="sv-SE"/>
        </w:rPr>
      </w:pPr>
      <w:bookmarkStart w:id="0" w:name="_GoBack"/>
      <w:bookmarkEnd w:id="0"/>
    </w:p>
    <w:p w:rsidR="0013692F" w:rsidRPr="001E3568" w:rsidRDefault="0013692F" w:rsidP="0013692F">
      <w:pPr>
        <w:ind w:left="6520" w:firstLine="1304"/>
        <w:jc w:val="both"/>
        <w:rPr>
          <w:bCs/>
          <w:i/>
          <w:sz w:val="24"/>
          <w:szCs w:val="24"/>
          <w:lang w:val="sv-SE"/>
        </w:rPr>
      </w:pPr>
    </w:p>
    <w:p w:rsidR="0013692F" w:rsidRPr="001E3568" w:rsidRDefault="007F0943" w:rsidP="007F0943">
      <w:pPr>
        <w:spacing w:line="280" w:lineRule="auto"/>
        <w:ind w:left="6520" w:firstLine="1304"/>
        <w:jc w:val="both"/>
        <w:rPr>
          <w:bCs/>
          <w:i/>
          <w:sz w:val="24"/>
          <w:szCs w:val="24"/>
          <w:lang w:val="sv-SE"/>
        </w:rPr>
      </w:pPr>
      <w:r w:rsidRPr="001E3568">
        <w:rPr>
          <w:bCs/>
          <w:i/>
          <w:sz w:val="24"/>
          <w:szCs w:val="24"/>
          <w:lang w:val="sv-SE"/>
        </w:rPr>
        <w:t>Lagförslag</w:t>
      </w:r>
    </w:p>
    <w:p w:rsidR="0013692F" w:rsidRPr="001E3568" w:rsidRDefault="007F0943" w:rsidP="007F0943">
      <w:pPr>
        <w:spacing w:line="280" w:lineRule="auto"/>
        <w:jc w:val="center"/>
        <w:rPr>
          <w:b/>
          <w:bCs/>
          <w:sz w:val="32"/>
          <w:szCs w:val="32"/>
          <w:lang w:val="sv-SE"/>
        </w:rPr>
      </w:pPr>
      <w:r w:rsidRPr="001E3568">
        <w:rPr>
          <w:b/>
          <w:bCs/>
          <w:sz w:val="32"/>
          <w:szCs w:val="32"/>
          <w:lang w:val="sv-SE"/>
        </w:rPr>
        <w:t>Lag</w:t>
      </w:r>
    </w:p>
    <w:p w:rsidR="0013692F" w:rsidRPr="001E3568" w:rsidRDefault="007F0943" w:rsidP="007F0943">
      <w:pPr>
        <w:spacing w:line="280" w:lineRule="auto"/>
        <w:jc w:val="center"/>
        <w:rPr>
          <w:b/>
          <w:bCs/>
          <w:sz w:val="24"/>
          <w:szCs w:val="28"/>
          <w:lang w:val="sv-SE"/>
        </w:rPr>
      </w:pPr>
      <w:r w:rsidRPr="001E3568">
        <w:rPr>
          <w:b/>
          <w:bCs/>
          <w:sz w:val="24"/>
          <w:szCs w:val="28"/>
          <w:lang w:val="sv-SE"/>
        </w:rPr>
        <w:t>om ändring av konkurrenslagen</w:t>
      </w:r>
    </w:p>
    <w:p w:rsidR="0013692F" w:rsidRPr="001E3568" w:rsidRDefault="0013692F" w:rsidP="0013692F">
      <w:pPr>
        <w:jc w:val="both"/>
        <w:rPr>
          <w:bCs/>
          <w:sz w:val="24"/>
          <w:szCs w:val="24"/>
          <w:lang w:val="sv-SE"/>
        </w:rPr>
      </w:pPr>
    </w:p>
    <w:p w:rsidR="0013692F" w:rsidRPr="001E3568" w:rsidRDefault="007F0943" w:rsidP="007F0943">
      <w:pPr>
        <w:spacing w:line="280" w:lineRule="auto"/>
        <w:jc w:val="both"/>
        <w:rPr>
          <w:bCs/>
          <w:sz w:val="24"/>
          <w:szCs w:val="24"/>
          <w:lang w:val="sv-SE"/>
        </w:rPr>
      </w:pPr>
      <w:r w:rsidRPr="001E3568">
        <w:rPr>
          <w:bCs/>
          <w:sz w:val="24"/>
          <w:szCs w:val="24"/>
          <w:lang w:val="sv-SE"/>
        </w:rPr>
        <w:t>I enlighet med riksdagens beslut</w:t>
      </w:r>
    </w:p>
    <w:p w:rsidR="0013692F" w:rsidRPr="001E3568" w:rsidRDefault="007F0943" w:rsidP="007F0943">
      <w:pPr>
        <w:spacing w:line="280" w:lineRule="auto"/>
        <w:jc w:val="both"/>
        <w:rPr>
          <w:bCs/>
          <w:sz w:val="24"/>
          <w:szCs w:val="24"/>
          <w:lang w:val="sv-SE"/>
        </w:rPr>
      </w:pPr>
      <w:r w:rsidRPr="001E3568">
        <w:rPr>
          <w:bCs/>
          <w:i/>
          <w:sz w:val="24"/>
          <w:szCs w:val="24"/>
          <w:lang w:val="sv-SE"/>
        </w:rPr>
        <w:t xml:space="preserve">fogas </w:t>
      </w:r>
      <w:r w:rsidRPr="001E3568">
        <w:rPr>
          <w:bCs/>
          <w:sz w:val="24"/>
          <w:szCs w:val="24"/>
          <w:lang w:val="sv-SE"/>
        </w:rPr>
        <w:t>till konkurrenslagen (948/2011) ett nytt X kap. och</w:t>
      </w:r>
      <w:r w:rsidRPr="001E3568">
        <w:rPr>
          <w:bCs/>
          <w:i/>
          <w:sz w:val="24"/>
          <w:szCs w:val="24"/>
          <w:lang w:val="sv-SE"/>
        </w:rPr>
        <w:t xml:space="preserve"> ändras </w:t>
      </w:r>
      <w:r w:rsidRPr="001E3568">
        <w:rPr>
          <w:bCs/>
          <w:sz w:val="24"/>
          <w:szCs w:val="24"/>
          <w:lang w:val="sv-SE"/>
        </w:rPr>
        <w:t>35, 37, 38, 44 och 45 § som följer:</w:t>
      </w:r>
      <w:r w:rsidR="0013692F" w:rsidRPr="001E3568">
        <w:rPr>
          <w:bCs/>
          <w:sz w:val="24"/>
          <w:szCs w:val="24"/>
          <w:lang w:val="sv-SE"/>
        </w:rPr>
        <w:t xml:space="preserve"> </w:t>
      </w:r>
    </w:p>
    <w:p w:rsidR="0013692F" w:rsidRPr="001E3568" w:rsidRDefault="0013692F" w:rsidP="0013692F">
      <w:pPr>
        <w:jc w:val="both"/>
        <w:rPr>
          <w:bCs/>
          <w:sz w:val="24"/>
          <w:szCs w:val="24"/>
          <w:lang w:val="sv-SE"/>
        </w:rPr>
      </w:pPr>
    </w:p>
    <w:p w:rsidR="0013692F" w:rsidRPr="001E3568" w:rsidRDefault="007F0943" w:rsidP="007F0943">
      <w:pPr>
        <w:spacing w:line="280" w:lineRule="auto"/>
        <w:jc w:val="center"/>
        <w:rPr>
          <w:bCs/>
          <w:sz w:val="24"/>
          <w:szCs w:val="24"/>
          <w:lang w:val="sv-SE"/>
        </w:rPr>
      </w:pPr>
      <w:r w:rsidRPr="001E3568">
        <w:rPr>
          <w:bCs/>
          <w:sz w:val="24"/>
          <w:szCs w:val="24"/>
          <w:lang w:val="sv-SE"/>
        </w:rPr>
        <w:t>X kap. (ny)</w:t>
      </w:r>
    </w:p>
    <w:p w:rsidR="0013692F" w:rsidRPr="001E3568" w:rsidRDefault="007F0943" w:rsidP="007F0943">
      <w:pPr>
        <w:spacing w:line="280" w:lineRule="auto"/>
        <w:jc w:val="center"/>
        <w:rPr>
          <w:b/>
          <w:bCs/>
          <w:sz w:val="24"/>
          <w:szCs w:val="24"/>
          <w:lang w:val="sv-SE"/>
        </w:rPr>
      </w:pPr>
      <w:r w:rsidRPr="001E3568">
        <w:rPr>
          <w:b/>
          <w:bCs/>
          <w:sz w:val="24"/>
          <w:szCs w:val="24"/>
          <w:lang w:val="sv-SE"/>
        </w:rPr>
        <w:t>Tryggande av valfriheten inom social- och hälsovården</w:t>
      </w:r>
    </w:p>
    <w:p w:rsidR="0013692F" w:rsidRPr="001E3568" w:rsidRDefault="007F0943" w:rsidP="007F0943">
      <w:pPr>
        <w:spacing w:line="280" w:lineRule="auto"/>
        <w:jc w:val="center"/>
        <w:rPr>
          <w:bCs/>
          <w:sz w:val="24"/>
          <w:szCs w:val="24"/>
          <w:lang w:val="sv-SE"/>
        </w:rPr>
      </w:pPr>
      <w:r w:rsidRPr="001E3568">
        <w:rPr>
          <w:bCs/>
          <w:sz w:val="24"/>
          <w:szCs w:val="24"/>
          <w:lang w:val="sv-SE"/>
        </w:rPr>
        <w:t xml:space="preserve"> a §</w:t>
      </w:r>
      <w:r w:rsidR="0013692F" w:rsidRPr="001E3568">
        <w:rPr>
          <w:bCs/>
          <w:sz w:val="24"/>
          <w:szCs w:val="24"/>
          <w:lang w:val="sv-SE"/>
        </w:rPr>
        <w:t xml:space="preserve"> </w:t>
      </w:r>
    </w:p>
    <w:p w:rsidR="0013692F" w:rsidRPr="001E3568" w:rsidRDefault="007F0943" w:rsidP="007F0943">
      <w:pPr>
        <w:spacing w:line="280" w:lineRule="auto"/>
        <w:jc w:val="center"/>
        <w:rPr>
          <w:bCs/>
          <w:i/>
          <w:sz w:val="24"/>
          <w:szCs w:val="24"/>
          <w:lang w:val="sv-SE"/>
        </w:rPr>
      </w:pPr>
      <w:r w:rsidRPr="001E3568">
        <w:rPr>
          <w:bCs/>
          <w:i/>
          <w:sz w:val="24"/>
          <w:szCs w:val="24"/>
          <w:lang w:val="sv-SE"/>
        </w:rPr>
        <w:t>Skyddet för små näringsidkare inom social- och hälsovården</w:t>
      </w:r>
    </w:p>
    <w:p w:rsidR="0013692F" w:rsidRPr="001E3568" w:rsidRDefault="007F0943" w:rsidP="007F0943">
      <w:pPr>
        <w:spacing w:line="280" w:lineRule="auto"/>
        <w:rPr>
          <w:bCs/>
          <w:sz w:val="24"/>
          <w:szCs w:val="24"/>
          <w:lang w:val="sv-SE"/>
        </w:rPr>
      </w:pPr>
      <w:r w:rsidRPr="001E3568">
        <w:rPr>
          <w:bCs/>
          <w:sz w:val="24"/>
          <w:szCs w:val="24"/>
          <w:lang w:val="sv-SE"/>
        </w:rPr>
        <w:t>En näringsidkare eller en sammanslutning av näringsidkare som är verksam inom omsättningen av i 15 § i lagen om kundens valfrihet inom social- och hälsovården (  /  ) avsedda direktvalstjänster eller inom hälso- och sjukvården nödvändiga laboratorietjänster eller diagnostiska avbildningstjänster eller analystjänster i samband med dem får inte omintetgöra eller försvåra eller allvarligt äventyra verksamhetsmöjligheterna för sådana i 1 kap. 4 a § i bokföringslagen (1336/1997) avsedda små näringsidkare inom social- och hälsovården som är i väsentlig grad beroende av den särskilt</w:t>
      </w:r>
    </w:p>
    <w:p w:rsidR="0013692F" w:rsidRPr="001E3568" w:rsidRDefault="007F0943" w:rsidP="007F0943">
      <w:pPr>
        <w:spacing w:line="280" w:lineRule="auto"/>
        <w:rPr>
          <w:bCs/>
          <w:sz w:val="24"/>
          <w:szCs w:val="24"/>
          <w:lang w:val="sv-SE"/>
        </w:rPr>
      </w:pPr>
      <w:r w:rsidRPr="001E3568">
        <w:rPr>
          <w:bCs/>
          <w:sz w:val="24"/>
          <w:szCs w:val="24"/>
          <w:lang w:val="sv-SE"/>
        </w:rPr>
        <w:t>1) genom att försätta dem i en sämre ställning än andra näringsidkare i samma ställning i fråga om leveransvillkor, prissättning eller andra handelsvillkor,</w:t>
      </w:r>
    </w:p>
    <w:p w:rsidR="0013692F" w:rsidRPr="001E3568" w:rsidRDefault="007F0943" w:rsidP="007F0943">
      <w:pPr>
        <w:spacing w:line="280" w:lineRule="auto"/>
        <w:rPr>
          <w:bCs/>
          <w:sz w:val="24"/>
          <w:szCs w:val="24"/>
          <w:lang w:val="sv-SE"/>
        </w:rPr>
      </w:pPr>
      <w:r w:rsidRPr="001E3568">
        <w:rPr>
          <w:bCs/>
          <w:sz w:val="24"/>
          <w:szCs w:val="24"/>
          <w:lang w:val="sv-SE"/>
        </w:rPr>
        <w:t xml:space="preserve">2) genom att tillämpa sådana avtalsvillkor som på ett väsentligt sätt begränsar små näringsidkares verksamhetsmöjligheter eller </w:t>
      </w:r>
    </w:p>
    <w:p w:rsidR="0013692F" w:rsidRPr="001E3568" w:rsidRDefault="007F0943" w:rsidP="007F0943">
      <w:pPr>
        <w:spacing w:line="280" w:lineRule="auto"/>
        <w:rPr>
          <w:bCs/>
          <w:sz w:val="24"/>
          <w:szCs w:val="24"/>
          <w:lang w:val="sv-SE"/>
        </w:rPr>
      </w:pPr>
      <w:r w:rsidRPr="001E3568">
        <w:rPr>
          <w:bCs/>
          <w:sz w:val="24"/>
          <w:szCs w:val="24"/>
          <w:lang w:val="sv-SE"/>
        </w:rPr>
        <w:t xml:space="preserve">3) genom att utnyttja sin ställning för att </w:t>
      </w:r>
      <w:r w:rsidR="00F47663">
        <w:rPr>
          <w:bCs/>
          <w:sz w:val="24"/>
          <w:szCs w:val="24"/>
          <w:lang w:val="sv-SE"/>
        </w:rPr>
        <w:t>skaffa</w:t>
      </w:r>
      <w:r w:rsidRPr="001E3568">
        <w:rPr>
          <w:bCs/>
          <w:sz w:val="24"/>
          <w:szCs w:val="24"/>
          <w:lang w:val="sv-SE"/>
        </w:rPr>
        <w:t xml:space="preserve"> sig oskäliga fördelar av en näringsidkare som är beroende av den</w:t>
      </w:r>
    </w:p>
    <w:p w:rsidR="0013692F" w:rsidRPr="001E3568" w:rsidRDefault="007F0943" w:rsidP="007F0943">
      <w:pPr>
        <w:spacing w:line="280" w:lineRule="auto"/>
        <w:rPr>
          <w:bCs/>
          <w:sz w:val="24"/>
          <w:szCs w:val="24"/>
          <w:lang w:val="sv-SE"/>
        </w:rPr>
      </w:pPr>
      <w:proofErr w:type="gramStart"/>
      <w:r w:rsidRPr="001E3568">
        <w:rPr>
          <w:bCs/>
          <w:sz w:val="24"/>
          <w:szCs w:val="24"/>
          <w:lang w:val="sv-SE"/>
        </w:rPr>
        <w:t>om förfarandet inte är motiverat av objektivt godtagbara skäl.</w:t>
      </w:r>
      <w:proofErr w:type="gramEnd"/>
    </w:p>
    <w:p w:rsidR="00AF23E3" w:rsidRPr="001E3568" w:rsidRDefault="00AF23E3" w:rsidP="007F0943">
      <w:pPr>
        <w:spacing w:line="280" w:lineRule="auto"/>
        <w:rPr>
          <w:bCs/>
          <w:sz w:val="24"/>
          <w:szCs w:val="24"/>
          <w:lang w:val="sv-SE"/>
        </w:rPr>
      </w:pPr>
    </w:p>
    <w:p w:rsidR="0013692F" w:rsidRPr="001E3568" w:rsidRDefault="007F0943" w:rsidP="007F0943">
      <w:pPr>
        <w:spacing w:line="280" w:lineRule="auto"/>
        <w:jc w:val="center"/>
        <w:rPr>
          <w:bCs/>
          <w:sz w:val="24"/>
          <w:szCs w:val="24"/>
          <w:lang w:val="sv-SE"/>
        </w:rPr>
      </w:pPr>
      <w:r w:rsidRPr="001E3568">
        <w:rPr>
          <w:bCs/>
          <w:sz w:val="24"/>
          <w:szCs w:val="24"/>
          <w:lang w:val="sv-SE"/>
        </w:rPr>
        <w:lastRenderedPageBreak/>
        <w:t>b §</w:t>
      </w:r>
    </w:p>
    <w:p w:rsidR="0013692F" w:rsidRPr="001E3568" w:rsidRDefault="007F0943" w:rsidP="007F0943">
      <w:pPr>
        <w:spacing w:line="280" w:lineRule="auto"/>
        <w:jc w:val="center"/>
        <w:rPr>
          <w:bCs/>
          <w:i/>
          <w:sz w:val="24"/>
          <w:szCs w:val="24"/>
          <w:lang w:val="sv-SE"/>
        </w:rPr>
      </w:pPr>
      <w:r w:rsidRPr="001E3568">
        <w:rPr>
          <w:bCs/>
          <w:i/>
          <w:sz w:val="24"/>
          <w:szCs w:val="24"/>
          <w:lang w:val="sv-SE"/>
        </w:rPr>
        <w:t>Påföljder</w:t>
      </w:r>
    </w:p>
    <w:p w:rsidR="0013692F" w:rsidRPr="001E3568" w:rsidRDefault="007F0943" w:rsidP="007F0943">
      <w:pPr>
        <w:spacing w:line="280" w:lineRule="auto"/>
        <w:rPr>
          <w:bCs/>
          <w:sz w:val="24"/>
          <w:szCs w:val="24"/>
          <w:lang w:val="sv-SE"/>
        </w:rPr>
      </w:pPr>
      <w:r w:rsidRPr="001E3568">
        <w:rPr>
          <w:bCs/>
          <w:sz w:val="24"/>
          <w:szCs w:val="24"/>
          <w:lang w:val="sv-SE"/>
        </w:rPr>
        <w:t xml:space="preserve">Om Konkurrens- och konsumentverket konstaterar att en näringsidkare eller en sammanslutning av näringsidkare bryter mot förbudet </w:t>
      </w:r>
      <w:proofErr w:type="gramStart"/>
      <w:r w:rsidRPr="001E3568">
        <w:rPr>
          <w:bCs/>
          <w:sz w:val="24"/>
          <w:szCs w:val="24"/>
          <w:lang w:val="sv-SE"/>
        </w:rPr>
        <w:t>enligt  a</w:t>
      </w:r>
      <w:proofErr w:type="gramEnd"/>
      <w:r w:rsidRPr="001E3568">
        <w:rPr>
          <w:bCs/>
          <w:sz w:val="24"/>
          <w:szCs w:val="24"/>
          <w:lang w:val="sv-SE"/>
        </w:rPr>
        <w:t xml:space="preserve"> §, kan Konkurrens- och konsumentverket</w:t>
      </w:r>
      <w:r w:rsidR="0013692F" w:rsidRPr="001E3568">
        <w:rPr>
          <w:bCs/>
          <w:sz w:val="24"/>
          <w:szCs w:val="24"/>
          <w:lang w:val="sv-SE"/>
        </w:rPr>
        <w:t xml:space="preserve"> </w:t>
      </w:r>
    </w:p>
    <w:p w:rsidR="0013692F" w:rsidRPr="001E3568" w:rsidRDefault="007F0943" w:rsidP="007F0943">
      <w:pPr>
        <w:spacing w:line="280" w:lineRule="auto"/>
        <w:rPr>
          <w:bCs/>
          <w:sz w:val="24"/>
          <w:szCs w:val="24"/>
          <w:lang w:val="sv-SE"/>
        </w:rPr>
      </w:pPr>
      <w:r w:rsidRPr="001E3568">
        <w:rPr>
          <w:bCs/>
          <w:sz w:val="24"/>
          <w:szCs w:val="24"/>
          <w:lang w:val="sv-SE"/>
        </w:rPr>
        <w:t>1) förelägga en näringsidkare eller en sammanslutning av näringsidkare att upphöra med ett förbjudet förfarande,</w:t>
      </w:r>
    </w:p>
    <w:p w:rsidR="0013692F" w:rsidRPr="001E3568" w:rsidRDefault="007F0943" w:rsidP="007F0943">
      <w:pPr>
        <w:spacing w:line="280" w:lineRule="auto"/>
        <w:rPr>
          <w:bCs/>
          <w:sz w:val="24"/>
          <w:szCs w:val="24"/>
          <w:lang w:val="sv-SE"/>
        </w:rPr>
      </w:pPr>
      <w:r w:rsidRPr="001E3568">
        <w:rPr>
          <w:bCs/>
          <w:sz w:val="24"/>
          <w:szCs w:val="24"/>
          <w:lang w:val="sv-SE"/>
        </w:rPr>
        <w:t>2) ålägga en näringsidkare att leverera en nyttighet till en annan näringsidkare på villkor som motsvarar dem som denne erbjuder andra näringsidkare i samma ställning, eller</w:t>
      </w:r>
      <w:r w:rsidR="0013692F" w:rsidRPr="001E3568">
        <w:rPr>
          <w:bCs/>
          <w:sz w:val="24"/>
          <w:szCs w:val="24"/>
          <w:lang w:val="sv-SE"/>
        </w:rPr>
        <w:t xml:space="preserve"> </w:t>
      </w:r>
    </w:p>
    <w:p w:rsidR="0013692F" w:rsidRPr="001E3568" w:rsidRDefault="007F0943" w:rsidP="007F0943">
      <w:pPr>
        <w:spacing w:line="280" w:lineRule="auto"/>
        <w:rPr>
          <w:bCs/>
          <w:sz w:val="24"/>
          <w:szCs w:val="24"/>
          <w:lang w:val="sv-SE"/>
        </w:rPr>
      </w:pPr>
      <w:r w:rsidRPr="001E3568">
        <w:rPr>
          <w:bCs/>
          <w:sz w:val="24"/>
          <w:szCs w:val="24"/>
          <w:lang w:val="sv-SE"/>
        </w:rPr>
        <w:t xml:space="preserve">3) genom sitt beslut göra de åtaganden som erbjudits av de näringsidkare och sammanslutningar av näringsidkare som deltagit i ett förbjudet förfarande bindande för de berörda näringsidkarna, om det är möjligt att genom dessa åtaganden undanröja den mot förbudet </w:t>
      </w:r>
      <w:proofErr w:type="gramStart"/>
      <w:r w:rsidRPr="001E3568">
        <w:rPr>
          <w:bCs/>
          <w:sz w:val="24"/>
          <w:szCs w:val="24"/>
          <w:lang w:val="sv-SE"/>
        </w:rPr>
        <w:t>i   a</w:t>
      </w:r>
      <w:proofErr w:type="gramEnd"/>
      <w:r w:rsidRPr="001E3568">
        <w:rPr>
          <w:bCs/>
          <w:sz w:val="24"/>
          <w:szCs w:val="24"/>
          <w:lang w:val="sv-SE"/>
        </w:rPr>
        <w:t xml:space="preserve"> § stridande arten av ett förfarande.</w:t>
      </w:r>
      <w:r w:rsidR="0013692F" w:rsidRPr="001E3568">
        <w:rPr>
          <w:bCs/>
          <w:sz w:val="24"/>
          <w:szCs w:val="24"/>
          <w:lang w:val="sv-SE"/>
        </w:rPr>
        <w:t xml:space="preserve"> </w:t>
      </w:r>
    </w:p>
    <w:p w:rsidR="0013692F" w:rsidRPr="001E3568" w:rsidRDefault="007F0943" w:rsidP="007F0943">
      <w:pPr>
        <w:spacing w:line="280" w:lineRule="auto"/>
        <w:rPr>
          <w:bCs/>
          <w:sz w:val="24"/>
          <w:szCs w:val="24"/>
          <w:lang w:val="sv-SE"/>
        </w:rPr>
      </w:pPr>
      <w:r w:rsidRPr="001E3568">
        <w:rPr>
          <w:bCs/>
          <w:sz w:val="24"/>
          <w:szCs w:val="24"/>
          <w:lang w:val="sv-SE"/>
        </w:rPr>
        <w:t>Konkurrens- och konsumentverket kan ta upp ett ärende som avses i 1 mom. 2 och 3 punkten till ny behandling, om ett sakförhållande som låg till grund för beslutet har ändrats i något väsentligt avseende, om de berörda näringsidkarna åsidosätter sina</w:t>
      </w:r>
      <w:r w:rsidR="00F47663">
        <w:rPr>
          <w:bCs/>
          <w:sz w:val="24"/>
          <w:szCs w:val="24"/>
          <w:lang w:val="sv-SE"/>
        </w:rPr>
        <w:t xml:space="preserve"> ålägganden och</w:t>
      </w:r>
      <w:r w:rsidRPr="001E3568">
        <w:rPr>
          <w:bCs/>
          <w:sz w:val="24"/>
          <w:szCs w:val="24"/>
          <w:lang w:val="sv-SE"/>
        </w:rPr>
        <w:t xml:space="preserve"> åtaganden eller om beslutet har grundat sig på ofullständiga, oriktiga eller vilseledande uppgifter som parterna har lämnat.</w:t>
      </w:r>
    </w:p>
    <w:p w:rsidR="0013692F" w:rsidRPr="001E3568" w:rsidRDefault="007F0943" w:rsidP="007F0943">
      <w:pPr>
        <w:spacing w:line="280" w:lineRule="auto"/>
        <w:rPr>
          <w:bCs/>
          <w:sz w:val="24"/>
          <w:szCs w:val="24"/>
          <w:lang w:val="sv-SE"/>
        </w:rPr>
      </w:pPr>
      <w:r w:rsidRPr="001E3568">
        <w:rPr>
          <w:bCs/>
          <w:sz w:val="24"/>
          <w:szCs w:val="24"/>
          <w:lang w:val="sv-SE"/>
        </w:rPr>
        <w:t xml:space="preserve">En näringsidkare kan genom ansökan föra fram ett ärende som avses i 1 mom. 2 och </w:t>
      </w:r>
      <w:r w:rsidR="00E33672">
        <w:rPr>
          <w:bCs/>
          <w:sz w:val="24"/>
          <w:szCs w:val="24"/>
          <w:lang w:val="sv-SE"/>
        </w:rPr>
        <w:t xml:space="preserve">3 </w:t>
      </w:r>
      <w:r w:rsidRPr="001E3568">
        <w:rPr>
          <w:bCs/>
          <w:sz w:val="24"/>
          <w:szCs w:val="24"/>
          <w:lang w:val="sv-SE"/>
        </w:rPr>
        <w:t>punkten till Konkurrens- och konsumentverket för ny behandling, om ett sakförhållande som låg till grund för beslutet har ändrats i något väsentligt avseende.</w:t>
      </w:r>
    </w:p>
    <w:p w:rsidR="0013692F" w:rsidRPr="001E3568" w:rsidRDefault="007F0943" w:rsidP="007F0943">
      <w:pPr>
        <w:spacing w:line="280" w:lineRule="auto"/>
        <w:rPr>
          <w:bCs/>
          <w:sz w:val="24"/>
          <w:szCs w:val="24"/>
          <w:lang w:val="sv-SE"/>
        </w:rPr>
      </w:pPr>
      <w:r w:rsidRPr="001E3568">
        <w:rPr>
          <w:bCs/>
          <w:sz w:val="24"/>
          <w:szCs w:val="24"/>
          <w:lang w:val="sv-SE"/>
        </w:rPr>
        <w:t xml:space="preserve">Konkurrens- och konsumentverket kan förena de villkor, förelägganden, förbud eller ålägganden som verket meddelat med stöd av 1 mom. med vite på det sätt som anges i 46 §. </w:t>
      </w:r>
      <w:r w:rsidR="0013692F" w:rsidRPr="001E3568">
        <w:rPr>
          <w:bCs/>
          <w:sz w:val="24"/>
          <w:szCs w:val="24"/>
          <w:lang w:val="sv-SE"/>
        </w:rPr>
        <w:t xml:space="preserve"> </w:t>
      </w:r>
    </w:p>
    <w:p w:rsidR="0013692F" w:rsidRPr="001E3568" w:rsidRDefault="007F0943" w:rsidP="007F0943">
      <w:pPr>
        <w:spacing w:line="280" w:lineRule="auto"/>
        <w:jc w:val="center"/>
        <w:rPr>
          <w:i/>
          <w:sz w:val="24"/>
          <w:szCs w:val="24"/>
          <w:lang w:val="sv-SE"/>
        </w:rPr>
      </w:pPr>
      <w:r w:rsidRPr="001E3568">
        <w:rPr>
          <w:bCs/>
          <w:sz w:val="24"/>
          <w:szCs w:val="24"/>
          <w:lang w:val="sv-SE"/>
        </w:rPr>
        <w:t xml:space="preserve"> c §</w:t>
      </w:r>
      <w:r w:rsidR="0013692F" w:rsidRPr="001E3568">
        <w:rPr>
          <w:i/>
          <w:sz w:val="24"/>
          <w:szCs w:val="24"/>
          <w:lang w:val="sv-SE"/>
        </w:rPr>
        <w:t xml:space="preserve"> </w:t>
      </w:r>
    </w:p>
    <w:p w:rsidR="0013692F" w:rsidRPr="001E3568" w:rsidRDefault="007F0943" w:rsidP="007F0943">
      <w:pPr>
        <w:spacing w:line="280" w:lineRule="auto"/>
        <w:jc w:val="center"/>
        <w:rPr>
          <w:bCs/>
          <w:i/>
          <w:sz w:val="24"/>
          <w:szCs w:val="24"/>
          <w:lang w:val="sv-SE"/>
        </w:rPr>
      </w:pPr>
      <w:r w:rsidRPr="001E3568">
        <w:rPr>
          <w:bCs/>
          <w:i/>
          <w:sz w:val="24"/>
          <w:szCs w:val="24"/>
          <w:lang w:val="sv-SE"/>
        </w:rPr>
        <w:t>Angelägenhetsordning och lämnande av ett ärende utan prövning</w:t>
      </w:r>
    </w:p>
    <w:p w:rsidR="0013692F" w:rsidRPr="001E3568" w:rsidRDefault="007F0943" w:rsidP="007F0943">
      <w:pPr>
        <w:spacing w:line="280" w:lineRule="auto"/>
        <w:jc w:val="both"/>
        <w:rPr>
          <w:bCs/>
          <w:sz w:val="24"/>
          <w:szCs w:val="24"/>
          <w:lang w:val="sv-SE"/>
        </w:rPr>
      </w:pPr>
      <w:r w:rsidRPr="001E3568">
        <w:rPr>
          <w:bCs/>
          <w:sz w:val="24"/>
          <w:szCs w:val="24"/>
          <w:lang w:val="sv-SE"/>
        </w:rPr>
        <w:t>I fråga om de uppgifter som avses i detta kapitel ska Konkurrens- och konsumentverket ställa sina uppgifter i angelägenhetsordning.</w:t>
      </w:r>
      <w:r w:rsidR="0013692F" w:rsidRPr="001E3568">
        <w:rPr>
          <w:bCs/>
          <w:sz w:val="24"/>
          <w:szCs w:val="24"/>
          <w:lang w:val="sv-SE"/>
        </w:rPr>
        <w:t xml:space="preserve"> </w:t>
      </w:r>
    </w:p>
    <w:p w:rsidR="0013692F" w:rsidRPr="001E3568" w:rsidRDefault="007F0943" w:rsidP="007F0943">
      <w:pPr>
        <w:spacing w:line="280" w:lineRule="auto"/>
        <w:jc w:val="both"/>
        <w:rPr>
          <w:bCs/>
          <w:sz w:val="24"/>
          <w:szCs w:val="24"/>
          <w:lang w:val="sv-SE"/>
        </w:rPr>
      </w:pPr>
      <w:r w:rsidRPr="001E3568">
        <w:rPr>
          <w:bCs/>
          <w:sz w:val="24"/>
          <w:szCs w:val="24"/>
          <w:lang w:val="sv-SE"/>
        </w:rPr>
        <w:t>Konkurrens- och konsumentverket kan lämna en begäran om åtgärd i ett ärende som avses i detta kapitel utan prövning, om</w:t>
      </w:r>
    </w:p>
    <w:p w:rsidR="0013692F" w:rsidRPr="001E3568" w:rsidRDefault="007F0943" w:rsidP="007F0943">
      <w:pPr>
        <w:pStyle w:val="Luettelokappale"/>
        <w:numPr>
          <w:ilvl w:val="0"/>
          <w:numId w:val="1"/>
        </w:numPr>
        <w:spacing w:line="280" w:lineRule="auto"/>
        <w:jc w:val="both"/>
        <w:rPr>
          <w:bCs/>
          <w:sz w:val="24"/>
          <w:szCs w:val="24"/>
          <w:lang w:val="sv-SE"/>
        </w:rPr>
      </w:pPr>
      <w:r w:rsidRPr="001E3568">
        <w:rPr>
          <w:bCs/>
          <w:sz w:val="24"/>
          <w:szCs w:val="24"/>
          <w:lang w:val="sv-SE"/>
        </w:rPr>
        <w:t>den är uppenbart ogrundad, eller</w:t>
      </w:r>
    </w:p>
    <w:p w:rsidR="0013692F" w:rsidRPr="001E3568" w:rsidRDefault="007F0943" w:rsidP="007F0943">
      <w:pPr>
        <w:pStyle w:val="Luettelokappale"/>
        <w:numPr>
          <w:ilvl w:val="0"/>
          <w:numId w:val="1"/>
        </w:numPr>
        <w:spacing w:line="280" w:lineRule="auto"/>
        <w:jc w:val="both"/>
        <w:rPr>
          <w:bCs/>
          <w:sz w:val="24"/>
          <w:szCs w:val="24"/>
          <w:lang w:val="sv-SE"/>
        </w:rPr>
      </w:pPr>
      <w:r w:rsidRPr="001E3568">
        <w:rPr>
          <w:bCs/>
          <w:sz w:val="24"/>
          <w:szCs w:val="24"/>
          <w:lang w:val="sv-SE"/>
        </w:rPr>
        <w:t>om det förfarande som avses i den sannolikt inte äventyrar förverkligandet av valfriheten inom social- och hälsovården i landskapet.</w:t>
      </w:r>
    </w:p>
    <w:p w:rsidR="0013692F" w:rsidRPr="001E3568" w:rsidRDefault="007F0943" w:rsidP="007F0943">
      <w:pPr>
        <w:spacing w:line="280" w:lineRule="auto"/>
        <w:jc w:val="both"/>
        <w:rPr>
          <w:bCs/>
          <w:sz w:val="24"/>
          <w:szCs w:val="24"/>
          <w:lang w:val="sv-SE"/>
        </w:rPr>
      </w:pPr>
      <w:r w:rsidRPr="001E3568">
        <w:rPr>
          <w:bCs/>
          <w:sz w:val="24"/>
          <w:szCs w:val="24"/>
          <w:lang w:val="sv-SE"/>
        </w:rPr>
        <w:lastRenderedPageBreak/>
        <w:t>Beslut om att låta bli att pröva ärendet ska fattas utan dröjsmål.</w:t>
      </w:r>
      <w:r w:rsidR="0013692F" w:rsidRPr="001E3568">
        <w:rPr>
          <w:bCs/>
          <w:sz w:val="24"/>
          <w:szCs w:val="24"/>
          <w:lang w:val="sv-SE"/>
        </w:rPr>
        <w:t xml:space="preserve"> </w:t>
      </w:r>
    </w:p>
    <w:p w:rsidR="0013692F" w:rsidRPr="001E3568" w:rsidRDefault="0013692F" w:rsidP="0013692F">
      <w:pPr>
        <w:jc w:val="center"/>
        <w:rPr>
          <w:bCs/>
          <w:sz w:val="24"/>
          <w:szCs w:val="24"/>
          <w:lang w:val="sv-SE"/>
        </w:rPr>
      </w:pPr>
    </w:p>
    <w:p w:rsidR="0013692F" w:rsidRPr="001E3568" w:rsidRDefault="007F0943" w:rsidP="007F0943">
      <w:pPr>
        <w:spacing w:line="280" w:lineRule="auto"/>
        <w:jc w:val="center"/>
        <w:rPr>
          <w:bCs/>
          <w:sz w:val="24"/>
          <w:szCs w:val="24"/>
          <w:lang w:val="sv-SE"/>
        </w:rPr>
      </w:pPr>
      <w:r w:rsidRPr="001E3568">
        <w:rPr>
          <w:bCs/>
          <w:sz w:val="24"/>
          <w:szCs w:val="24"/>
          <w:lang w:val="sv-SE"/>
        </w:rPr>
        <w:t xml:space="preserve"> d §</w:t>
      </w:r>
      <w:r w:rsidR="0013692F" w:rsidRPr="001E3568">
        <w:rPr>
          <w:bCs/>
          <w:sz w:val="24"/>
          <w:szCs w:val="24"/>
          <w:lang w:val="sv-SE"/>
        </w:rPr>
        <w:t xml:space="preserve"> </w:t>
      </w:r>
    </w:p>
    <w:p w:rsidR="0013692F" w:rsidRPr="001E3568" w:rsidRDefault="007F0943" w:rsidP="007F0943">
      <w:pPr>
        <w:spacing w:line="280" w:lineRule="auto"/>
        <w:jc w:val="center"/>
        <w:rPr>
          <w:bCs/>
          <w:i/>
          <w:sz w:val="24"/>
          <w:szCs w:val="24"/>
          <w:lang w:val="sv-SE"/>
        </w:rPr>
      </w:pPr>
      <w:r w:rsidRPr="001E3568">
        <w:rPr>
          <w:bCs/>
          <w:i/>
          <w:sz w:val="24"/>
          <w:szCs w:val="24"/>
          <w:lang w:val="sv-SE"/>
        </w:rPr>
        <w:t>Skyldighet att lämna upplysningar</w:t>
      </w:r>
    </w:p>
    <w:p w:rsidR="0013692F" w:rsidRPr="001E3568" w:rsidRDefault="007F0943" w:rsidP="007F0943">
      <w:pPr>
        <w:spacing w:line="280" w:lineRule="auto"/>
        <w:jc w:val="both"/>
        <w:rPr>
          <w:bCs/>
          <w:sz w:val="24"/>
          <w:szCs w:val="24"/>
          <w:lang w:val="sv-SE"/>
        </w:rPr>
      </w:pPr>
      <w:r w:rsidRPr="001E3568">
        <w:rPr>
          <w:bCs/>
          <w:sz w:val="24"/>
          <w:szCs w:val="24"/>
          <w:lang w:val="sv-SE"/>
        </w:rPr>
        <w:t>Vid tillsynen enligt detta kapitel tillämpas på skyldigheten för näringsidkare, sammanslutningar av näringsidkare och landskap samt för tillsynsmyndigheten för social- och hälsovården att lämna upplysningar bestämmelserna om näringsidkarens skyldighet att lämna upplysningar enligt 33 §.</w:t>
      </w:r>
      <w:r w:rsidR="0013692F" w:rsidRPr="001E3568">
        <w:rPr>
          <w:bCs/>
          <w:sz w:val="24"/>
          <w:szCs w:val="24"/>
          <w:lang w:val="sv-SE"/>
        </w:rPr>
        <w:t xml:space="preserve"> </w:t>
      </w:r>
      <w:r w:rsidRPr="001E3568">
        <w:rPr>
          <w:bCs/>
          <w:sz w:val="24"/>
          <w:szCs w:val="24"/>
          <w:lang w:val="sv-SE"/>
        </w:rPr>
        <w:t>Landskapen och tillsynsmyndigheterna för social- och hälsovården har också skyldighet att lämna sådana upplysningar om marknaden för social- och hälsovårdstjänster som är sekretessbelagda med stöd av lagen om offentlighet i myndigheternas verksamhet (621/1999), om uppgifterna är nödvändiga med tanke på Konkurrens- och konsumentverkets tillsynsverksamhet.</w:t>
      </w:r>
      <w:r w:rsidR="0013692F" w:rsidRPr="001E3568">
        <w:rPr>
          <w:bCs/>
          <w:sz w:val="24"/>
          <w:szCs w:val="24"/>
          <w:lang w:val="sv-SE"/>
        </w:rPr>
        <w:t xml:space="preserve"> </w:t>
      </w:r>
      <w:r w:rsidRPr="001E3568">
        <w:rPr>
          <w:bCs/>
          <w:sz w:val="24"/>
          <w:szCs w:val="24"/>
          <w:lang w:val="sv-SE"/>
        </w:rPr>
        <w:t>Skyldigheten att lämna upplysningar gäller dock inte uppgifter som avses i 24 § 1 mom. 25 punkten i lagen om offentlighet i myndigheternas verksamhet.</w:t>
      </w:r>
      <w:r w:rsidR="0013692F" w:rsidRPr="001E3568">
        <w:rPr>
          <w:bCs/>
          <w:sz w:val="24"/>
          <w:szCs w:val="24"/>
          <w:lang w:val="sv-SE"/>
        </w:rPr>
        <w:t xml:space="preserve"> </w:t>
      </w:r>
    </w:p>
    <w:p w:rsidR="0013692F" w:rsidRPr="001E3568" w:rsidRDefault="007F0943" w:rsidP="007F0943">
      <w:pPr>
        <w:spacing w:line="280" w:lineRule="auto"/>
        <w:jc w:val="both"/>
        <w:rPr>
          <w:bCs/>
          <w:sz w:val="24"/>
          <w:szCs w:val="24"/>
          <w:lang w:val="sv-SE"/>
        </w:rPr>
      </w:pPr>
      <w:r w:rsidRPr="001E3568">
        <w:rPr>
          <w:bCs/>
          <w:sz w:val="24"/>
          <w:szCs w:val="24"/>
          <w:lang w:val="sv-SE"/>
        </w:rPr>
        <w:t>Konkurrens- och konsumentverket kan förena ett åläggande som verket med stöd av 1 mom. meddelat en näringsidkare eller en sammanslutning av näringsidkare med vite på det sätt som anges i 46 §.</w:t>
      </w:r>
    </w:p>
    <w:p w:rsidR="0013692F" w:rsidRPr="001E3568" w:rsidRDefault="0013692F" w:rsidP="0013692F">
      <w:pPr>
        <w:jc w:val="center"/>
        <w:rPr>
          <w:bCs/>
          <w:sz w:val="24"/>
          <w:szCs w:val="24"/>
          <w:lang w:val="sv-SE"/>
        </w:rPr>
      </w:pPr>
      <w:r w:rsidRPr="001E3568">
        <w:rPr>
          <w:bCs/>
          <w:sz w:val="24"/>
          <w:szCs w:val="24"/>
          <w:lang w:val="sv-SE"/>
        </w:rPr>
        <w:t xml:space="preserve">35 § </w:t>
      </w:r>
    </w:p>
    <w:p w:rsidR="0013692F" w:rsidRPr="001E3568" w:rsidRDefault="007F0943" w:rsidP="007F0943">
      <w:pPr>
        <w:spacing w:line="280" w:lineRule="auto"/>
        <w:jc w:val="center"/>
        <w:rPr>
          <w:bCs/>
          <w:i/>
          <w:sz w:val="24"/>
          <w:szCs w:val="24"/>
          <w:lang w:val="sv-SE"/>
        </w:rPr>
      </w:pPr>
      <w:r w:rsidRPr="001E3568">
        <w:rPr>
          <w:bCs/>
          <w:i/>
          <w:sz w:val="24"/>
          <w:szCs w:val="24"/>
          <w:lang w:val="sv-SE"/>
        </w:rPr>
        <w:t>Inspektioner i näringsidkares affärslokaler</w:t>
      </w:r>
    </w:p>
    <w:p w:rsidR="0013692F" w:rsidRPr="001E3568" w:rsidRDefault="007F0943" w:rsidP="007F0943">
      <w:pPr>
        <w:spacing w:line="280" w:lineRule="auto"/>
        <w:jc w:val="both"/>
        <w:rPr>
          <w:sz w:val="24"/>
          <w:szCs w:val="24"/>
          <w:lang w:val="sv-SE"/>
        </w:rPr>
      </w:pPr>
      <w:r w:rsidRPr="001E3568">
        <w:rPr>
          <w:sz w:val="24"/>
          <w:szCs w:val="24"/>
          <w:lang w:val="sv-SE"/>
        </w:rPr>
        <w:t xml:space="preserve">Behöriga tjänstemän vid Konkurrens- och konsumentverket (och regionförvaltningsverket) har rätt att förrätta inspektioner i de affärs- och lagerlokaler samt av markområden och fordon som en näringsidkare har i sin </w:t>
      </w:r>
      <w:proofErr w:type="gramStart"/>
      <w:r w:rsidRPr="001E3568">
        <w:rPr>
          <w:sz w:val="24"/>
          <w:szCs w:val="24"/>
          <w:lang w:val="sv-SE"/>
        </w:rPr>
        <w:t>besittning</w:t>
      </w:r>
      <w:proofErr w:type="gramEnd"/>
      <w:r w:rsidRPr="001E3568">
        <w:rPr>
          <w:sz w:val="24"/>
          <w:szCs w:val="24"/>
          <w:lang w:val="sv-SE"/>
        </w:rPr>
        <w:t xml:space="preserve"> för att övervaka att denna lag och de bestämmelser som utfärdats med stöd av den följs, för att bedöma företagsförvärv som avses i 4 kap. samt för att utöva tillsyn över att bestämmelserna </w:t>
      </w:r>
      <w:r w:rsidRPr="001E3568">
        <w:rPr>
          <w:i/>
          <w:sz w:val="24"/>
          <w:szCs w:val="24"/>
          <w:lang w:val="sv-SE"/>
        </w:rPr>
        <w:t>i X kap</w:t>
      </w:r>
      <w:r w:rsidRPr="001E3568">
        <w:rPr>
          <w:sz w:val="24"/>
          <w:szCs w:val="24"/>
          <w:lang w:val="sv-SE"/>
        </w:rPr>
        <w:t>. följs.</w:t>
      </w:r>
      <w:r w:rsidR="0013692F" w:rsidRPr="001E3568">
        <w:rPr>
          <w:sz w:val="24"/>
          <w:szCs w:val="24"/>
          <w:lang w:val="sv-SE"/>
        </w:rPr>
        <w:t xml:space="preserve"> </w:t>
      </w:r>
      <w:r w:rsidRPr="001E3568">
        <w:rPr>
          <w:sz w:val="24"/>
          <w:szCs w:val="24"/>
          <w:lang w:val="sv-SE"/>
        </w:rPr>
        <w:t>Konkurrens- och konsumentverket är skyldigt att på begäran av Europeiska kommissionen förrätta inspektioner så som bestäms i Europeiska unionens rättsakter.</w:t>
      </w:r>
    </w:p>
    <w:p w:rsidR="0013692F" w:rsidRPr="001E3568" w:rsidRDefault="007F0943" w:rsidP="007F0943">
      <w:pPr>
        <w:spacing w:line="280" w:lineRule="auto"/>
        <w:jc w:val="both"/>
        <w:rPr>
          <w:sz w:val="24"/>
          <w:szCs w:val="24"/>
          <w:lang w:val="sv-SE"/>
        </w:rPr>
      </w:pPr>
      <w:r w:rsidRPr="001E3568">
        <w:rPr>
          <w:sz w:val="24"/>
          <w:szCs w:val="24"/>
          <w:lang w:val="sv-SE"/>
        </w:rPr>
        <w:t xml:space="preserve">Konkurrens- och konkurrensverket biträder kommissionen vid inspektioner så som bestäms i Europeiska unionens rättsakter. </w:t>
      </w:r>
    </w:p>
    <w:p w:rsidR="0013692F" w:rsidRPr="001E3568" w:rsidRDefault="0013692F" w:rsidP="0013692F">
      <w:pPr>
        <w:jc w:val="center"/>
        <w:rPr>
          <w:sz w:val="24"/>
          <w:szCs w:val="24"/>
          <w:lang w:val="sv-SE"/>
        </w:rPr>
      </w:pPr>
      <w:r w:rsidRPr="001E3568">
        <w:rPr>
          <w:sz w:val="24"/>
          <w:szCs w:val="24"/>
          <w:lang w:val="sv-SE"/>
        </w:rPr>
        <w:t xml:space="preserve">37 § </w:t>
      </w:r>
    </w:p>
    <w:p w:rsidR="0013692F" w:rsidRPr="001E3568" w:rsidRDefault="007F0943" w:rsidP="007F0943">
      <w:pPr>
        <w:spacing w:line="280" w:lineRule="auto"/>
        <w:jc w:val="center"/>
        <w:rPr>
          <w:i/>
          <w:sz w:val="24"/>
          <w:szCs w:val="24"/>
          <w:lang w:val="sv-SE"/>
        </w:rPr>
      </w:pPr>
      <w:r w:rsidRPr="001E3568">
        <w:rPr>
          <w:i/>
          <w:sz w:val="24"/>
          <w:szCs w:val="24"/>
          <w:lang w:val="sv-SE"/>
        </w:rPr>
        <w:t>Förfarandet vid inspektioner</w:t>
      </w:r>
    </w:p>
    <w:p w:rsidR="0013692F" w:rsidRPr="001E3568" w:rsidRDefault="007F0943" w:rsidP="007F0943">
      <w:pPr>
        <w:spacing w:line="280" w:lineRule="auto"/>
        <w:jc w:val="both"/>
        <w:rPr>
          <w:sz w:val="24"/>
          <w:szCs w:val="24"/>
          <w:lang w:val="sv-SE"/>
        </w:rPr>
      </w:pPr>
      <w:r w:rsidRPr="001E3568">
        <w:rPr>
          <w:sz w:val="24"/>
          <w:szCs w:val="24"/>
          <w:lang w:val="sv-SE"/>
        </w:rPr>
        <w:t xml:space="preserve">Näringsidkare och sammanslutningar av näringsidkare ska för inspektioner ge Konkurrens- och konsumentverkets, regionförvaltningsverkets eller Europeiska kommissionens tjänstemän eller personer som dessa bemyndigat tillträde till affärs- och lagerlokaler, markområden och fordon som de har i sin </w:t>
      </w:r>
      <w:proofErr w:type="gramStart"/>
      <w:r w:rsidRPr="001E3568">
        <w:rPr>
          <w:sz w:val="24"/>
          <w:szCs w:val="24"/>
          <w:lang w:val="sv-SE"/>
        </w:rPr>
        <w:t>besittning</w:t>
      </w:r>
      <w:proofErr w:type="gramEnd"/>
      <w:r w:rsidRPr="001E3568">
        <w:rPr>
          <w:sz w:val="24"/>
          <w:szCs w:val="24"/>
          <w:lang w:val="sv-SE"/>
        </w:rPr>
        <w:t>.</w:t>
      </w:r>
      <w:r w:rsidR="0013692F" w:rsidRPr="001E3568">
        <w:rPr>
          <w:sz w:val="24"/>
          <w:szCs w:val="24"/>
          <w:lang w:val="sv-SE"/>
        </w:rPr>
        <w:t xml:space="preserve"> </w:t>
      </w:r>
      <w:r w:rsidRPr="001E3568">
        <w:rPr>
          <w:sz w:val="24"/>
          <w:szCs w:val="24"/>
          <w:lang w:val="sv-SE"/>
        </w:rPr>
        <w:t xml:space="preserve">De tjänstemän som förrättar </w:t>
      </w:r>
      <w:r w:rsidRPr="001E3568">
        <w:rPr>
          <w:sz w:val="24"/>
          <w:szCs w:val="24"/>
          <w:lang w:val="sv-SE"/>
        </w:rPr>
        <w:lastRenderedPageBreak/>
        <w:t>inspektion har rätt att granska och ta kopior av näringsidkarnas och sammanslutningarnas affärskorrespondens, bokföring, dataregistreringar och andra handlingar och data som kan ha betydelse för tillsynen över att denna lag samt de bestämmelser som utfärdats med stöd av den följs.</w:t>
      </w:r>
    </w:p>
    <w:p w:rsidR="0013692F" w:rsidRPr="001E3568" w:rsidRDefault="007F0943" w:rsidP="007F0943">
      <w:pPr>
        <w:spacing w:line="280" w:lineRule="auto"/>
        <w:jc w:val="both"/>
        <w:rPr>
          <w:sz w:val="24"/>
          <w:szCs w:val="24"/>
          <w:lang w:val="sv-SE"/>
        </w:rPr>
      </w:pPr>
      <w:r w:rsidRPr="001E3568">
        <w:rPr>
          <w:sz w:val="24"/>
          <w:szCs w:val="24"/>
          <w:lang w:val="sv-SE"/>
        </w:rPr>
        <w:t>De tjänstemän som förrättar inspektion har rätt att få alla uppgifter som behövs för inspektionen också av ett företag som behandlar kommunikation eller uppgifter som avses i 1 mom. på begäran av den näringsidkare som är föremål för inspektion eller annars som en del av den service som tillhandahållits näringsidkaren.</w:t>
      </w:r>
      <w:r w:rsidR="0013692F" w:rsidRPr="001E3568">
        <w:rPr>
          <w:sz w:val="24"/>
          <w:szCs w:val="24"/>
          <w:lang w:val="sv-SE"/>
        </w:rPr>
        <w:t xml:space="preserve"> </w:t>
      </w:r>
      <w:r w:rsidRPr="001E3568">
        <w:rPr>
          <w:sz w:val="24"/>
          <w:szCs w:val="24"/>
          <w:lang w:val="sv-SE"/>
        </w:rPr>
        <w:t>Om lämnandet av uppgifter till de tjänstemän som förrättar inspektionen medför kostnader för det företag som på begäran av den näringsidkare som är föremål för inspektion eller annars som en del av den service som tillhandahålls den näringsidkaren behandlar uppgifter, svarar denna näringsidkare eller den sammanslutning av näringsidkare som är föremål för inspektion för kostnaderna, om inte parterna kommer överens om något annat.</w:t>
      </w:r>
    </w:p>
    <w:p w:rsidR="0013692F" w:rsidRPr="001E3568" w:rsidRDefault="007F0943" w:rsidP="007F0943">
      <w:pPr>
        <w:spacing w:line="280" w:lineRule="auto"/>
        <w:jc w:val="both"/>
        <w:rPr>
          <w:sz w:val="24"/>
          <w:szCs w:val="24"/>
          <w:lang w:val="sv-SE"/>
        </w:rPr>
      </w:pPr>
      <w:r w:rsidRPr="001E3568">
        <w:rPr>
          <w:sz w:val="24"/>
          <w:szCs w:val="24"/>
          <w:lang w:val="sv-SE"/>
        </w:rPr>
        <w:t xml:space="preserve">De tjänstemän som förrättar inspektion har rätt att av samtliga företrädare för och anställda hos näringsidkaren eller sammanslutningen av näringsidkare kräva utredningar av fakta och handlingar som har samband med föremålet för och ändamålet med inspektionen och protokollföra de svar som har erhållits. </w:t>
      </w:r>
      <w:r w:rsidR="0013692F" w:rsidRPr="001E3568">
        <w:rPr>
          <w:sz w:val="24"/>
          <w:szCs w:val="24"/>
          <w:lang w:val="sv-SE"/>
        </w:rPr>
        <w:t xml:space="preserve"> </w:t>
      </w:r>
      <w:r w:rsidRPr="001E3568">
        <w:rPr>
          <w:sz w:val="24"/>
          <w:szCs w:val="24"/>
          <w:lang w:val="sv-SE"/>
        </w:rPr>
        <w:t>De tjänstemän som förrättar inspektion har också rätt att försegla lokaler eller bokföring, handlingar och data så länge och i den omfattning som det behövs för inspektionen.</w:t>
      </w:r>
    </w:p>
    <w:p w:rsidR="0013692F" w:rsidRPr="001E3568" w:rsidRDefault="007F0943" w:rsidP="007F0943">
      <w:pPr>
        <w:spacing w:line="280" w:lineRule="auto"/>
        <w:jc w:val="both"/>
        <w:rPr>
          <w:sz w:val="24"/>
          <w:szCs w:val="24"/>
          <w:lang w:val="sv-SE"/>
        </w:rPr>
      </w:pPr>
      <w:r w:rsidRPr="001E3568">
        <w:rPr>
          <w:sz w:val="24"/>
          <w:szCs w:val="24"/>
          <w:lang w:val="sv-SE"/>
        </w:rPr>
        <w:t xml:space="preserve">Vid förrättande av inspektion i andra lokaler än de som avses i 35 § har Europeiska kommissionens, Konkurrens- och konsumentverkets och regionförvaltningsverkets tjänstemän befogenheter enligt 1 mom., men inte befogenheter enligt 3 mom. </w:t>
      </w:r>
    </w:p>
    <w:p w:rsidR="0013692F" w:rsidRPr="001E3568" w:rsidRDefault="007F0943" w:rsidP="007F0943">
      <w:pPr>
        <w:spacing w:line="280" w:lineRule="auto"/>
        <w:jc w:val="both"/>
        <w:rPr>
          <w:i/>
          <w:sz w:val="24"/>
          <w:szCs w:val="24"/>
          <w:lang w:val="sv-SE"/>
        </w:rPr>
      </w:pPr>
      <w:r w:rsidRPr="001E3568">
        <w:rPr>
          <w:i/>
          <w:sz w:val="24"/>
          <w:szCs w:val="24"/>
          <w:lang w:val="sv-SE"/>
        </w:rPr>
        <w:t>Vid förrättande av inspektion enligt 35 § för att utöva tillsyn över att bestämmelserna i X kap. följs har tjänstemän vid Konkurrens- och konsumentverket befogenheter enligt 1–3 mom.</w:t>
      </w:r>
    </w:p>
    <w:p w:rsidR="0013692F" w:rsidRPr="001E3568" w:rsidRDefault="007F0943" w:rsidP="007F0943">
      <w:pPr>
        <w:spacing w:line="280" w:lineRule="auto"/>
        <w:jc w:val="both"/>
        <w:rPr>
          <w:sz w:val="24"/>
          <w:szCs w:val="24"/>
          <w:lang w:val="sv-SE"/>
        </w:rPr>
      </w:pPr>
      <w:r w:rsidRPr="001E3568">
        <w:rPr>
          <w:sz w:val="24"/>
          <w:szCs w:val="24"/>
          <w:lang w:val="sv-SE"/>
        </w:rPr>
        <w:t xml:space="preserve">Bestämmelser om polisens skyldighet att ge handräckning finns i 9 kap. 1 § i polislagen (872/2011). </w:t>
      </w:r>
    </w:p>
    <w:p w:rsidR="0013692F" w:rsidRPr="001E3568" w:rsidRDefault="007F0943" w:rsidP="007F0943">
      <w:pPr>
        <w:spacing w:line="280" w:lineRule="auto"/>
        <w:jc w:val="both"/>
        <w:rPr>
          <w:sz w:val="24"/>
          <w:szCs w:val="24"/>
          <w:lang w:val="sv-SE"/>
        </w:rPr>
      </w:pPr>
      <w:r w:rsidRPr="001E3568">
        <w:rPr>
          <w:sz w:val="24"/>
          <w:szCs w:val="24"/>
          <w:lang w:val="sv-SE"/>
        </w:rPr>
        <w:t>Europeiska kommissionen, Konkurrens- och konsumentverket (och regionförvaltningsverken) kan vid inspektioner biträdas av andra personer som de har bemyndigat därtill.</w:t>
      </w:r>
    </w:p>
    <w:p w:rsidR="0013692F" w:rsidRPr="001E3568" w:rsidRDefault="0013692F" w:rsidP="0013692F">
      <w:pPr>
        <w:jc w:val="center"/>
        <w:rPr>
          <w:sz w:val="24"/>
          <w:szCs w:val="24"/>
          <w:lang w:val="sv-SE"/>
        </w:rPr>
      </w:pPr>
      <w:r w:rsidRPr="001E3568">
        <w:rPr>
          <w:sz w:val="24"/>
          <w:szCs w:val="24"/>
          <w:lang w:val="sv-SE"/>
        </w:rPr>
        <w:t>38 §</w:t>
      </w:r>
    </w:p>
    <w:p w:rsidR="0013692F" w:rsidRPr="001E3568" w:rsidRDefault="007F0943" w:rsidP="007F0943">
      <w:pPr>
        <w:spacing w:line="280" w:lineRule="auto"/>
        <w:jc w:val="center"/>
        <w:rPr>
          <w:i/>
          <w:sz w:val="24"/>
          <w:szCs w:val="24"/>
          <w:lang w:val="sv-SE"/>
        </w:rPr>
      </w:pPr>
      <w:r w:rsidRPr="001E3568">
        <w:rPr>
          <w:i/>
          <w:sz w:val="24"/>
          <w:szCs w:val="24"/>
          <w:lang w:val="sv-SE"/>
        </w:rPr>
        <w:t>Näringsidkarens rätt att försvara sig</w:t>
      </w:r>
    </w:p>
    <w:p w:rsidR="0013692F" w:rsidRPr="001E3568" w:rsidRDefault="007F0943" w:rsidP="007F0943">
      <w:pPr>
        <w:spacing w:line="280" w:lineRule="auto"/>
        <w:jc w:val="both"/>
        <w:rPr>
          <w:sz w:val="24"/>
          <w:szCs w:val="24"/>
          <w:lang w:val="sv-SE"/>
        </w:rPr>
      </w:pPr>
      <w:r w:rsidRPr="001E3568">
        <w:rPr>
          <w:sz w:val="24"/>
          <w:szCs w:val="24"/>
          <w:lang w:val="sv-SE"/>
        </w:rPr>
        <w:t>Konkurrens- och konsumentverket ska meddela den näringsidkare som är föremål för en utredning vilken ställning denna har i utredningen och för vilken gärning denna misstänks.</w:t>
      </w:r>
      <w:r w:rsidR="0013692F" w:rsidRPr="001E3568">
        <w:rPr>
          <w:sz w:val="24"/>
          <w:szCs w:val="24"/>
          <w:lang w:val="sv-SE"/>
        </w:rPr>
        <w:t xml:space="preserve"> </w:t>
      </w:r>
      <w:r w:rsidRPr="001E3568">
        <w:rPr>
          <w:sz w:val="24"/>
          <w:szCs w:val="24"/>
          <w:lang w:val="sv-SE"/>
        </w:rPr>
        <w:lastRenderedPageBreak/>
        <w:t>Näringsidkaren har rätt att få informationen så snart detta kan ske utan men för utredningen av en konkurrensbegränsning.</w:t>
      </w:r>
      <w:r w:rsidR="0013692F" w:rsidRPr="001E3568">
        <w:rPr>
          <w:sz w:val="24"/>
          <w:szCs w:val="24"/>
          <w:lang w:val="sv-SE"/>
        </w:rPr>
        <w:t xml:space="preserve"> </w:t>
      </w:r>
    </w:p>
    <w:p w:rsidR="0013692F" w:rsidRPr="001E3568" w:rsidRDefault="007F0943" w:rsidP="007F0943">
      <w:pPr>
        <w:spacing w:line="280" w:lineRule="auto"/>
        <w:jc w:val="both"/>
        <w:rPr>
          <w:sz w:val="24"/>
          <w:szCs w:val="24"/>
          <w:lang w:val="sv-SE"/>
        </w:rPr>
      </w:pPr>
      <w:r w:rsidRPr="001E3568">
        <w:rPr>
          <w:sz w:val="24"/>
          <w:szCs w:val="24"/>
          <w:lang w:val="sv-SE"/>
        </w:rPr>
        <w:t>En näringsidkare som är föremål för en utredning har rätt att på begäran antingen muntligt eller på annat lämpligt sätt få upplysningar om de handlingar som rör utredningen och i vilket skede behandlingen av ärendet är till den del detta kan ske utan men för utredningen av ärendet, om något annat inte föreskrivs i lagen om offentlighet i myndigheternas verksamhet (621/1999) eller i Europeiska unionens rättsakter.</w:t>
      </w:r>
    </w:p>
    <w:p w:rsidR="0013692F" w:rsidRPr="001E3568" w:rsidRDefault="007F0943" w:rsidP="007F0943">
      <w:pPr>
        <w:spacing w:line="280" w:lineRule="auto"/>
        <w:jc w:val="both"/>
        <w:rPr>
          <w:sz w:val="24"/>
          <w:szCs w:val="24"/>
          <w:lang w:val="sv-SE"/>
        </w:rPr>
      </w:pPr>
      <w:r w:rsidRPr="001E3568">
        <w:rPr>
          <w:sz w:val="24"/>
          <w:szCs w:val="24"/>
          <w:lang w:val="sv-SE"/>
        </w:rPr>
        <w:t>Konkurrens- och konsumentverket får använda de upplysningar som erhållits på basis av 33–36 § endast till det ändamål för vilket de har samlats in, om inte Konkurrens- och konsumentverket har inlett en ny utredning.</w:t>
      </w:r>
      <w:r w:rsidR="0013692F" w:rsidRPr="001E3568">
        <w:rPr>
          <w:sz w:val="24"/>
          <w:szCs w:val="24"/>
          <w:lang w:val="sv-SE"/>
        </w:rPr>
        <w:t xml:space="preserve"> </w:t>
      </w:r>
      <w:r w:rsidRPr="001E3568">
        <w:rPr>
          <w:sz w:val="24"/>
          <w:szCs w:val="24"/>
          <w:lang w:val="sv-SE"/>
        </w:rPr>
        <w:t xml:space="preserve">En näringsidkare är inte skyldig att ge Konkurrens- och konsumentverket handlingar som innehåller konfidentiell brevväxling mellan en utomstående juridisk rådgivare och dennas klient. </w:t>
      </w:r>
      <w:r w:rsidR="0013692F" w:rsidRPr="001E3568">
        <w:rPr>
          <w:sz w:val="24"/>
          <w:szCs w:val="24"/>
          <w:lang w:val="sv-SE"/>
        </w:rPr>
        <w:t xml:space="preserve"> </w:t>
      </w:r>
      <w:r w:rsidRPr="001E3568">
        <w:rPr>
          <w:sz w:val="24"/>
          <w:szCs w:val="24"/>
          <w:lang w:val="sv-SE"/>
        </w:rPr>
        <w:t xml:space="preserve">När en näringsidkare besvarar de frågor som Konkurrens- och konsumentverket ställt kan näringsidkaren inte åläggas att erkänna att näringsidkaren gjort sig skyldig till ett brott mot 5, 7 </w:t>
      </w:r>
      <w:proofErr w:type="gramStart"/>
      <w:r w:rsidRPr="001E3568">
        <w:rPr>
          <w:i/>
          <w:sz w:val="24"/>
          <w:szCs w:val="24"/>
          <w:lang w:val="sv-SE"/>
        </w:rPr>
        <w:t>eller  a</w:t>
      </w:r>
      <w:proofErr w:type="gramEnd"/>
      <w:r w:rsidRPr="001E3568">
        <w:rPr>
          <w:i/>
          <w:sz w:val="24"/>
          <w:szCs w:val="24"/>
          <w:lang w:val="sv-SE"/>
        </w:rPr>
        <w:t xml:space="preserve"> §</w:t>
      </w:r>
      <w:r w:rsidRPr="001E3568">
        <w:rPr>
          <w:sz w:val="24"/>
          <w:szCs w:val="24"/>
          <w:lang w:val="sv-SE"/>
        </w:rPr>
        <w:t xml:space="preserve"> eller mot artikel 101 eller 102 i fördraget om Europeiska unionens funktionssätt.</w:t>
      </w:r>
      <w:r w:rsidR="0013692F" w:rsidRPr="001E3568">
        <w:rPr>
          <w:sz w:val="24"/>
          <w:szCs w:val="24"/>
          <w:lang w:val="sv-SE"/>
        </w:rPr>
        <w:t xml:space="preserve"> </w:t>
      </w:r>
    </w:p>
    <w:p w:rsidR="0013692F" w:rsidRPr="001E3568" w:rsidRDefault="007F0943" w:rsidP="007F0943">
      <w:pPr>
        <w:spacing w:line="280" w:lineRule="auto"/>
        <w:jc w:val="both"/>
        <w:rPr>
          <w:sz w:val="24"/>
          <w:szCs w:val="24"/>
          <w:lang w:val="sv-SE"/>
        </w:rPr>
      </w:pPr>
      <w:r w:rsidRPr="001E3568">
        <w:rPr>
          <w:sz w:val="24"/>
          <w:szCs w:val="24"/>
          <w:lang w:val="sv-SE"/>
        </w:rPr>
        <w:t xml:space="preserve">En näringsidkare har rätt att bli hörd innan Konkurrens- och konsumentverket gör en framställning om påföljdsavgift eller fattar ett beslut i vilket det konstaterar att ett förfarande i strid med 5, 7 </w:t>
      </w:r>
      <w:proofErr w:type="gramStart"/>
      <w:r w:rsidRPr="001E3568">
        <w:rPr>
          <w:i/>
          <w:sz w:val="24"/>
          <w:szCs w:val="24"/>
          <w:lang w:val="sv-SE"/>
        </w:rPr>
        <w:t>eller   a</w:t>
      </w:r>
      <w:proofErr w:type="gramEnd"/>
      <w:r w:rsidRPr="001E3568">
        <w:rPr>
          <w:i/>
          <w:sz w:val="24"/>
          <w:szCs w:val="24"/>
          <w:lang w:val="sv-SE"/>
        </w:rPr>
        <w:t xml:space="preserve"> §</w:t>
      </w:r>
      <w:r w:rsidRPr="001E3568">
        <w:rPr>
          <w:sz w:val="24"/>
          <w:szCs w:val="24"/>
          <w:lang w:val="sv-SE"/>
        </w:rPr>
        <w:t xml:space="preserve"> eller med artikel 101 eller 102 i fördraget om Europeiska unionens funktionssätt förekommit.</w:t>
      </w:r>
      <w:r w:rsidR="0013692F" w:rsidRPr="001E3568">
        <w:rPr>
          <w:sz w:val="24"/>
          <w:szCs w:val="24"/>
          <w:lang w:val="sv-SE"/>
        </w:rPr>
        <w:t xml:space="preserve"> </w:t>
      </w:r>
      <w:r w:rsidRPr="001E3568">
        <w:rPr>
          <w:sz w:val="24"/>
          <w:szCs w:val="24"/>
          <w:lang w:val="sv-SE"/>
        </w:rPr>
        <w:t>Konkurrens- och konsumentverket ska underrätta näringsidkaren skriftligen om de invändningar som verket kommit med mot omständigheter som uppdagats vid undersökningen jämte motiveringar.</w:t>
      </w:r>
      <w:r w:rsidR="0013692F" w:rsidRPr="001E3568">
        <w:rPr>
          <w:sz w:val="24"/>
          <w:szCs w:val="24"/>
          <w:lang w:val="sv-SE"/>
        </w:rPr>
        <w:t xml:space="preserve"> </w:t>
      </w:r>
      <w:r w:rsidRPr="001E3568">
        <w:rPr>
          <w:sz w:val="24"/>
          <w:szCs w:val="24"/>
          <w:lang w:val="sv-SE"/>
        </w:rPr>
        <w:t xml:space="preserve">Konkurrens- och konsumentverket ska sätta ut en skälig tid inom vilken näringsidkaren antingen skriftligen eller muntligen kan framföra sina synpunkter till Konkurrens- och konsumentverket. </w:t>
      </w:r>
    </w:p>
    <w:p w:rsidR="0013692F" w:rsidRPr="001E3568" w:rsidRDefault="0013692F" w:rsidP="0013692F">
      <w:pPr>
        <w:jc w:val="center"/>
        <w:rPr>
          <w:bCs/>
          <w:sz w:val="24"/>
          <w:szCs w:val="24"/>
          <w:lang w:val="sv-SE"/>
        </w:rPr>
      </w:pPr>
      <w:r w:rsidRPr="001E3568">
        <w:rPr>
          <w:bCs/>
          <w:sz w:val="24"/>
          <w:szCs w:val="24"/>
          <w:lang w:val="sv-SE"/>
        </w:rPr>
        <w:t xml:space="preserve">44 § </w:t>
      </w:r>
    </w:p>
    <w:p w:rsidR="0013692F" w:rsidRPr="001E3568" w:rsidRDefault="007F0943" w:rsidP="007F0943">
      <w:pPr>
        <w:spacing w:line="280" w:lineRule="auto"/>
        <w:jc w:val="center"/>
        <w:rPr>
          <w:bCs/>
          <w:sz w:val="24"/>
          <w:szCs w:val="24"/>
          <w:lang w:val="sv-SE"/>
        </w:rPr>
      </w:pPr>
      <w:r w:rsidRPr="001E3568">
        <w:rPr>
          <w:bCs/>
          <w:i/>
          <w:sz w:val="24"/>
          <w:szCs w:val="24"/>
          <w:lang w:val="sv-SE"/>
        </w:rPr>
        <w:t>Överklagande</w:t>
      </w:r>
    </w:p>
    <w:p w:rsidR="0013692F" w:rsidRPr="001E3568" w:rsidRDefault="007F0943" w:rsidP="007F0943">
      <w:pPr>
        <w:spacing w:line="280" w:lineRule="auto"/>
        <w:jc w:val="both"/>
        <w:rPr>
          <w:sz w:val="24"/>
          <w:szCs w:val="24"/>
          <w:lang w:val="sv-SE"/>
        </w:rPr>
      </w:pPr>
      <w:r w:rsidRPr="001E3568">
        <w:rPr>
          <w:sz w:val="24"/>
          <w:szCs w:val="24"/>
          <w:lang w:val="sv-SE"/>
        </w:rPr>
        <w:t xml:space="preserve">Ett beslut som Konkurrens- och konsumentverket har meddelat med stöd av denna lag får överklagas hos marknadsdomstolen i den ordning som föreskrivs i förvaltningsprocesslagen. </w:t>
      </w:r>
      <w:r w:rsidR="0013692F" w:rsidRPr="001E3568">
        <w:rPr>
          <w:sz w:val="24"/>
          <w:szCs w:val="24"/>
          <w:lang w:val="sv-SE"/>
        </w:rPr>
        <w:t xml:space="preserve"> </w:t>
      </w:r>
      <w:r w:rsidRPr="001E3568">
        <w:rPr>
          <w:sz w:val="24"/>
          <w:szCs w:val="24"/>
          <w:lang w:val="sv-SE"/>
        </w:rPr>
        <w:t>Ett beslut som Konkurrens- och konsumentverket har meddelat med stöd av 26 § 1 mom. eller 45 § 1 mom. och ett beslut om förrättande av inspektion enligt 35 § får inte överklagas genom besvär.</w:t>
      </w:r>
      <w:r w:rsidR="0013692F" w:rsidRPr="001E3568">
        <w:rPr>
          <w:sz w:val="24"/>
          <w:szCs w:val="24"/>
          <w:lang w:val="sv-SE"/>
        </w:rPr>
        <w:t xml:space="preserve"> </w:t>
      </w:r>
      <w:r w:rsidRPr="001E3568">
        <w:rPr>
          <w:sz w:val="24"/>
          <w:szCs w:val="24"/>
          <w:lang w:val="sv-SE"/>
        </w:rPr>
        <w:t xml:space="preserve">Ett beslut som Konkurrens- och konsumentverket har meddelat med stöd av 17 § 3 mom. eller 26 § 3 mom. får inte överklagas särskilt genom besvär. </w:t>
      </w:r>
      <w:r w:rsidR="0013692F" w:rsidRPr="001E3568">
        <w:rPr>
          <w:sz w:val="24"/>
          <w:szCs w:val="24"/>
          <w:lang w:val="sv-SE"/>
        </w:rPr>
        <w:t xml:space="preserve"> </w:t>
      </w:r>
      <w:r w:rsidRPr="001E3568">
        <w:rPr>
          <w:sz w:val="24"/>
          <w:szCs w:val="24"/>
          <w:lang w:val="sv-SE"/>
        </w:rPr>
        <w:t>Den som anmäler ett företagsförvärv får inte anföra besvär över ett beslut som Konkurrens- och konsumentverket meddelat med stöd av 25 § och genom vilket Konkurrens- och konsumentverket har bestämt att de villkor som anmälaren har ställt ska iakttas.</w:t>
      </w:r>
      <w:r w:rsidR="0013692F" w:rsidRPr="001E3568">
        <w:rPr>
          <w:sz w:val="24"/>
          <w:szCs w:val="24"/>
          <w:lang w:val="sv-SE"/>
        </w:rPr>
        <w:t xml:space="preserve"> </w:t>
      </w:r>
      <w:r w:rsidRPr="001E3568">
        <w:rPr>
          <w:sz w:val="24"/>
          <w:szCs w:val="24"/>
          <w:lang w:val="sv-SE"/>
        </w:rPr>
        <w:t xml:space="preserve">Ett beslut som Konkurrens- och konsumentverket har meddelat med stöd av 9–11, 30 c, 33 </w:t>
      </w:r>
      <w:proofErr w:type="gramStart"/>
      <w:r w:rsidRPr="001E3568">
        <w:rPr>
          <w:i/>
          <w:sz w:val="24"/>
          <w:szCs w:val="24"/>
          <w:lang w:val="sv-SE"/>
        </w:rPr>
        <w:t>eller  b</w:t>
      </w:r>
      <w:proofErr w:type="gramEnd"/>
      <w:r w:rsidRPr="001E3568">
        <w:rPr>
          <w:i/>
          <w:sz w:val="24"/>
          <w:szCs w:val="24"/>
          <w:lang w:val="sv-SE"/>
        </w:rPr>
        <w:t xml:space="preserve"> §</w:t>
      </w:r>
      <w:r w:rsidRPr="001E3568">
        <w:rPr>
          <w:sz w:val="24"/>
          <w:szCs w:val="24"/>
          <w:lang w:val="sv-SE"/>
        </w:rPr>
        <w:t xml:space="preserve"> ska iakttas även om besvär har anförts, om inte marknadsdomstolen bestämmer något annat. </w:t>
      </w:r>
      <w:r w:rsidR="0013692F" w:rsidRPr="001E3568">
        <w:rPr>
          <w:sz w:val="24"/>
          <w:szCs w:val="24"/>
          <w:lang w:val="sv-SE"/>
        </w:rPr>
        <w:t xml:space="preserve"> </w:t>
      </w:r>
    </w:p>
    <w:p w:rsidR="0013692F" w:rsidRPr="001E3568" w:rsidRDefault="007F0943" w:rsidP="007F0943">
      <w:pPr>
        <w:spacing w:line="280" w:lineRule="auto"/>
        <w:jc w:val="both"/>
        <w:rPr>
          <w:sz w:val="24"/>
          <w:szCs w:val="24"/>
          <w:lang w:val="sv-SE"/>
        </w:rPr>
      </w:pPr>
      <w:r w:rsidRPr="001E3568">
        <w:rPr>
          <w:sz w:val="24"/>
          <w:szCs w:val="24"/>
          <w:lang w:val="sv-SE"/>
        </w:rPr>
        <w:lastRenderedPageBreak/>
        <w:t xml:space="preserve">Ett beslut som marknadsdomstolen har meddelat med stöd av denna lag får överklagas genom besvär hos högsta förvaltningsdomstolen i den ordning som föreskrivs i förvaltningsprocesslagen. </w:t>
      </w:r>
      <w:r w:rsidR="0013692F" w:rsidRPr="001E3568">
        <w:rPr>
          <w:sz w:val="24"/>
          <w:szCs w:val="24"/>
          <w:lang w:val="sv-SE"/>
        </w:rPr>
        <w:t xml:space="preserve"> </w:t>
      </w:r>
      <w:r w:rsidRPr="001E3568">
        <w:rPr>
          <w:sz w:val="24"/>
          <w:szCs w:val="24"/>
          <w:lang w:val="sv-SE"/>
        </w:rPr>
        <w:t xml:space="preserve">Ett beslut som marknadsdomstolen har meddelat med stöd av 26 § 2 mom. eller ett beslut om förlängning av fristen enligt 45 § 2 mom. eller om tillstånd att förrätta inspektion enligt 36 § 3 mom. får inte överklagas genom besvär. </w:t>
      </w:r>
      <w:r w:rsidR="0013692F" w:rsidRPr="001E3568">
        <w:rPr>
          <w:sz w:val="24"/>
          <w:szCs w:val="24"/>
          <w:lang w:val="sv-SE"/>
        </w:rPr>
        <w:t xml:space="preserve"> </w:t>
      </w:r>
      <w:r w:rsidRPr="001E3568">
        <w:rPr>
          <w:sz w:val="24"/>
          <w:szCs w:val="24"/>
          <w:lang w:val="sv-SE"/>
        </w:rPr>
        <w:t xml:space="preserve">Marknadsdomstolens beslut ska iakttas trots att besvär har anförts, om inte högsta förvaltningsdomstolen bestämmer något annat. </w:t>
      </w:r>
    </w:p>
    <w:p w:rsidR="0013692F" w:rsidRPr="001E3568" w:rsidRDefault="007F0943" w:rsidP="007F0943">
      <w:pPr>
        <w:spacing w:line="280" w:lineRule="auto"/>
        <w:jc w:val="both"/>
        <w:rPr>
          <w:sz w:val="24"/>
          <w:szCs w:val="24"/>
          <w:lang w:val="sv-SE"/>
        </w:rPr>
      </w:pPr>
      <w:r w:rsidRPr="001E3568">
        <w:rPr>
          <w:sz w:val="24"/>
          <w:szCs w:val="24"/>
          <w:lang w:val="sv-SE"/>
        </w:rPr>
        <w:t>I ett beslut om handräckning som har meddelats med stöd av 37 § 4 mom. får ändring inte sökas genom besvär.</w:t>
      </w:r>
    </w:p>
    <w:p w:rsidR="0013692F" w:rsidRPr="001E3568" w:rsidRDefault="007F0943" w:rsidP="007F0943">
      <w:pPr>
        <w:spacing w:line="280" w:lineRule="auto"/>
        <w:jc w:val="both"/>
        <w:rPr>
          <w:sz w:val="24"/>
          <w:szCs w:val="24"/>
          <w:lang w:val="sv-SE"/>
        </w:rPr>
      </w:pPr>
      <w:r w:rsidRPr="001E3568">
        <w:rPr>
          <w:sz w:val="24"/>
          <w:szCs w:val="24"/>
          <w:lang w:val="sv-SE"/>
        </w:rPr>
        <w:t xml:space="preserve">En påföljdsavgift verkställs utan </w:t>
      </w:r>
      <w:proofErr w:type="gramStart"/>
      <w:r w:rsidRPr="001E3568">
        <w:rPr>
          <w:sz w:val="24"/>
          <w:szCs w:val="24"/>
          <w:lang w:val="sv-SE"/>
        </w:rPr>
        <w:t>dom</w:t>
      </w:r>
      <w:proofErr w:type="gramEnd"/>
      <w:r w:rsidRPr="001E3568">
        <w:rPr>
          <w:sz w:val="24"/>
          <w:szCs w:val="24"/>
          <w:lang w:val="sv-SE"/>
        </w:rPr>
        <w:t xml:space="preserve"> eller beslut med iakttagande av lagen om verkställighet av skatter och avgifter (706/2007).</w:t>
      </w:r>
    </w:p>
    <w:p w:rsidR="0013692F" w:rsidRPr="001E3568" w:rsidRDefault="0013692F" w:rsidP="0013692F">
      <w:pPr>
        <w:jc w:val="center"/>
        <w:rPr>
          <w:sz w:val="24"/>
          <w:szCs w:val="24"/>
          <w:lang w:val="sv-SE"/>
        </w:rPr>
      </w:pPr>
      <w:r w:rsidRPr="001E3568">
        <w:rPr>
          <w:sz w:val="24"/>
          <w:szCs w:val="24"/>
          <w:lang w:val="sv-SE"/>
        </w:rPr>
        <w:t>45 §</w:t>
      </w:r>
    </w:p>
    <w:p w:rsidR="0013692F" w:rsidRPr="001E3568" w:rsidRDefault="007F0943" w:rsidP="007F0943">
      <w:pPr>
        <w:spacing w:line="280" w:lineRule="auto"/>
        <w:jc w:val="center"/>
        <w:rPr>
          <w:i/>
          <w:sz w:val="24"/>
          <w:szCs w:val="24"/>
          <w:lang w:val="sv-SE"/>
        </w:rPr>
      </w:pPr>
      <w:r w:rsidRPr="001E3568">
        <w:rPr>
          <w:i/>
          <w:sz w:val="24"/>
          <w:szCs w:val="24"/>
          <w:lang w:val="sv-SE"/>
        </w:rPr>
        <w:t>Temporära bestämmelser</w:t>
      </w:r>
    </w:p>
    <w:p w:rsidR="0013692F" w:rsidRPr="001E3568" w:rsidRDefault="007F0943" w:rsidP="007F0943">
      <w:pPr>
        <w:spacing w:line="280" w:lineRule="auto"/>
        <w:jc w:val="both"/>
        <w:rPr>
          <w:sz w:val="24"/>
          <w:szCs w:val="24"/>
          <w:lang w:val="sv-SE"/>
        </w:rPr>
      </w:pPr>
      <w:r w:rsidRPr="001E3568">
        <w:rPr>
          <w:sz w:val="24"/>
          <w:szCs w:val="24"/>
          <w:lang w:val="sv-SE"/>
        </w:rPr>
        <w:t xml:space="preserve">Om det är behövligt att omedelbart förhindra tillämpning eller genomförande av en konkurrensbegränsning </w:t>
      </w:r>
      <w:r w:rsidRPr="001E3568">
        <w:rPr>
          <w:i/>
          <w:sz w:val="24"/>
          <w:szCs w:val="24"/>
          <w:lang w:val="sv-SE"/>
        </w:rPr>
        <w:t>eller ett förfarande som strider mot X kap.</w:t>
      </w:r>
      <w:r w:rsidRPr="001E3568">
        <w:rPr>
          <w:sz w:val="24"/>
          <w:szCs w:val="24"/>
          <w:lang w:val="sv-SE"/>
        </w:rPr>
        <w:t>, kan Konkurrens- och konsumentverket meddela ett temporärt förbud mot tillämpning och genomförande.</w:t>
      </w:r>
      <w:r w:rsidR="0013692F" w:rsidRPr="001E3568">
        <w:rPr>
          <w:sz w:val="24"/>
          <w:szCs w:val="24"/>
          <w:lang w:val="sv-SE"/>
        </w:rPr>
        <w:t xml:space="preserve"> </w:t>
      </w:r>
      <w:r w:rsidRPr="001E3568">
        <w:rPr>
          <w:sz w:val="24"/>
          <w:szCs w:val="24"/>
          <w:lang w:val="sv-SE"/>
        </w:rPr>
        <w:t>Konkurrens- och konsumentverket kan också temporärt ålägga en näringsidkare att leverera nyttigheter till en annan näringsidkare på villkor som motsvarar dem som denna erbjuder andra näringsidkare.</w:t>
      </w:r>
    </w:p>
    <w:p w:rsidR="0013692F" w:rsidRPr="001E3568" w:rsidRDefault="007F0943" w:rsidP="007F0943">
      <w:pPr>
        <w:spacing w:line="280" w:lineRule="auto"/>
        <w:jc w:val="both"/>
        <w:rPr>
          <w:sz w:val="24"/>
          <w:szCs w:val="24"/>
          <w:lang w:val="sv-SE"/>
        </w:rPr>
      </w:pPr>
      <w:r w:rsidRPr="001E3568">
        <w:rPr>
          <w:sz w:val="24"/>
          <w:szCs w:val="24"/>
          <w:lang w:val="sv-SE"/>
        </w:rPr>
        <w:t xml:space="preserve">Konkurrens- och konsumentverket ska fatta beslut i huvudsaken och göra en framställning till marknadsdomstolen enligt 12 § 3 mom. om bestämmande av påföljdsavgift inom 60 dagar från det att ett temporärt beslut har meddelats. </w:t>
      </w:r>
      <w:r w:rsidR="0013692F" w:rsidRPr="001E3568">
        <w:rPr>
          <w:sz w:val="24"/>
          <w:szCs w:val="24"/>
          <w:lang w:val="sv-SE"/>
        </w:rPr>
        <w:t xml:space="preserve"> </w:t>
      </w:r>
      <w:r w:rsidRPr="001E3568">
        <w:rPr>
          <w:sz w:val="24"/>
          <w:szCs w:val="24"/>
          <w:lang w:val="sv-SE"/>
        </w:rPr>
        <w:t>På ansökan av Konkurrens- och konsumentverket inom ovan nämnda tid kan marknadsdomstolen förlänga tidsfristen.</w:t>
      </w:r>
      <w:r w:rsidR="0013692F" w:rsidRPr="001E3568">
        <w:rPr>
          <w:sz w:val="24"/>
          <w:szCs w:val="24"/>
          <w:lang w:val="sv-SE"/>
        </w:rPr>
        <w:t xml:space="preserve"> </w:t>
      </w:r>
      <w:r w:rsidRPr="001E3568">
        <w:rPr>
          <w:sz w:val="24"/>
          <w:szCs w:val="24"/>
          <w:lang w:val="sv-SE"/>
        </w:rPr>
        <w:t xml:space="preserve">Om Konkurrens- och konsumentverket inte inom föreskriven tid fattar beslut i huvudsaken eller gör framställning till marknadsdomstolen, förfaller förbudet eller åläggandet. </w:t>
      </w:r>
    </w:p>
    <w:p w:rsidR="0013692F" w:rsidRPr="001E3568" w:rsidRDefault="007F0943" w:rsidP="007F0943">
      <w:pPr>
        <w:spacing w:line="280" w:lineRule="auto"/>
        <w:jc w:val="both"/>
        <w:rPr>
          <w:sz w:val="24"/>
          <w:szCs w:val="24"/>
          <w:lang w:val="sv-SE"/>
        </w:rPr>
      </w:pPr>
      <w:r w:rsidRPr="001E3568">
        <w:rPr>
          <w:sz w:val="24"/>
          <w:szCs w:val="24"/>
          <w:lang w:val="sv-SE"/>
        </w:rPr>
        <w:t>Innan Konkurrens- och konsumentverket utfärdar ett temporärt förbud eller åläggande ska verket ge näringsidkaren eller sammanslutningen av näringsidkare tillfälle att bli hörd, om inte något annat följer av att saken är brådskande eller av andra särskilda orsaker.</w:t>
      </w:r>
    </w:p>
    <w:p w:rsidR="0013692F" w:rsidRPr="001E3568" w:rsidRDefault="0013692F" w:rsidP="0013692F">
      <w:pPr>
        <w:jc w:val="both"/>
        <w:rPr>
          <w:sz w:val="24"/>
          <w:szCs w:val="24"/>
          <w:lang w:val="sv-SE"/>
        </w:rPr>
      </w:pPr>
    </w:p>
    <w:p w:rsidR="0013692F" w:rsidRPr="001E3568" w:rsidRDefault="007F0943" w:rsidP="007F0943">
      <w:pPr>
        <w:spacing w:line="280" w:lineRule="auto"/>
        <w:jc w:val="both"/>
        <w:rPr>
          <w:sz w:val="24"/>
          <w:szCs w:val="24"/>
          <w:lang w:val="sv-SE"/>
        </w:rPr>
      </w:pPr>
      <w:r w:rsidRPr="001E3568">
        <w:rPr>
          <w:sz w:val="24"/>
          <w:szCs w:val="24"/>
          <w:lang w:val="sv-SE"/>
        </w:rPr>
        <w:t>Ikraftträdande</w:t>
      </w:r>
    </w:p>
    <w:p w:rsidR="0013692F" w:rsidRPr="001E3568" w:rsidRDefault="007F0943" w:rsidP="007F0943">
      <w:pPr>
        <w:spacing w:line="280" w:lineRule="auto"/>
        <w:jc w:val="both"/>
        <w:rPr>
          <w:sz w:val="24"/>
          <w:szCs w:val="24"/>
          <w:lang w:val="sv-SE"/>
        </w:rPr>
      </w:pPr>
      <w:r w:rsidRPr="001E3568">
        <w:rPr>
          <w:sz w:val="24"/>
          <w:szCs w:val="24"/>
          <w:lang w:val="sv-SE"/>
        </w:rPr>
        <w:t>Denna lag träder i kraft den 1 januari 2019.</w:t>
      </w:r>
    </w:p>
    <w:p w:rsidR="00F11921" w:rsidRPr="001E3568" w:rsidRDefault="00F11921" w:rsidP="00F11921">
      <w:pPr>
        <w:ind w:left="6520" w:firstLine="1304"/>
        <w:jc w:val="both"/>
        <w:rPr>
          <w:rFonts w:cs="Times New Roman"/>
          <w:i/>
          <w:sz w:val="24"/>
          <w:szCs w:val="24"/>
          <w:lang w:val="sv-SE"/>
        </w:rPr>
      </w:pPr>
    </w:p>
    <w:p w:rsidR="00F11921" w:rsidRPr="001E3568" w:rsidRDefault="00F11921" w:rsidP="00F11921">
      <w:pPr>
        <w:ind w:left="6520" w:firstLine="1304"/>
        <w:jc w:val="both"/>
        <w:rPr>
          <w:rFonts w:cs="Times New Roman"/>
          <w:i/>
          <w:sz w:val="24"/>
          <w:szCs w:val="24"/>
          <w:lang w:val="sv-SE"/>
        </w:rPr>
      </w:pPr>
    </w:p>
    <w:p w:rsidR="00AF23E3" w:rsidRPr="001E3568" w:rsidRDefault="00AF23E3" w:rsidP="00F11921">
      <w:pPr>
        <w:ind w:left="6520" w:firstLine="1304"/>
        <w:jc w:val="both"/>
        <w:rPr>
          <w:rFonts w:cs="Times New Roman"/>
          <w:i/>
          <w:sz w:val="24"/>
          <w:szCs w:val="24"/>
          <w:lang w:val="sv-SE"/>
        </w:rPr>
      </w:pPr>
    </w:p>
    <w:p w:rsidR="00F11921" w:rsidRPr="001E3568" w:rsidRDefault="007F0943" w:rsidP="007F0943">
      <w:pPr>
        <w:spacing w:line="280" w:lineRule="auto"/>
        <w:ind w:left="6520" w:firstLine="1304"/>
        <w:jc w:val="both"/>
        <w:rPr>
          <w:rFonts w:cs="Times New Roman"/>
          <w:i/>
          <w:sz w:val="24"/>
          <w:szCs w:val="24"/>
          <w:lang w:val="sv-SE"/>
        </w:rPr>
      </w:pPr>
      <w:r w:rsidRPr="001E3568">
        <w:rPr>
          <w:rFonts w:cs="Times New Roman"/>
          <w:i/>
          <w:sz w:val="24"/>
          <w:szCs w:val="24"/>
          <w:lang w:val="sv-SE"/>
        </w:rPr>
        <w:t>Lagförslag</w:t>
      </w:r>
    </w:p>
    <w:p w:rsidR="00F11921" w:rsidRPr="001E3568" w:rsidRDefault="00F11921" w:rsidP="007F0943">
      <w:pPr>
        <w:spacing w:line="280" w:lineRule="auto"/>
        <w:jc w:val="both"/>
        <w:rPr>
          <w:rFonts w:cs="Times New Roman"/>
          <w:b/>
          <w:sz w:val="24"/>
          <w:szCs w:val="24"/>
          <w:lang w:val="sv-SE"/>
        </w:rPr>
      </w:pPr>
      <w:r w:rsidRPr="001E3568">
        <w:rPr>
          <w:rFonts w:cs="Times New Roman"/>
          <w:b/>
          <w:sz w:val="24"/>
          <w:szCs w:val="24"/>
          <w:lang w:val="sv-SE"/>
        </w:rPr>
        <w:tab/>
      </w:r>
      <w:r w:rsidRPr="001E3568">
        <w:rPr>
          <w:rFonts w:cs="Times New Roman"/>
          <w:b/>
          <w:sz w:val="24"/>
          <w:szCs w:val="24"/>
          <w:lang w:val="sv-SE"/>
        </w:rPr>
        <w:tab/>
      </w:r>
      <w:r w:rsidRPr="001E3568">
        <w:rPr>
          <w:rFonts w:cs="Times New Roman"/>
          <w:b/>
          <w:sz w:val="24"/>
          <w:szCs w:val="24"/>
          <w:lang w:val="sv-SE"/>
        </w:rPr>
        <w:tab/>
      </w:r>
      <w:r w:rsidR="007F0943" w:rsidRPr="001E3568">
        <w:rPr>
          <w:rFonts w:cs="Times New Roman"/>
          <w:b/>
          <w:sz w:val="24"/>
          <w:szCs w:val="24"/>
          <w:lang w:val="sv-SE"/>
        </w:rPr>
        <w:t>Lag</w:t>
      </w:r>
      <w:r w:rsidRPr="001E3568">
        <w:rPr>
          <w:rFonts w:cs="Times New Roman"/>
          <w:b/>
          <w:sz w:val="24"/>
          <w:szCs w:val="24"/>
          <w:lang w:val="sv-SE"/>
        </w:rPr>
        <w:t xml:space="preserve"> </w:t>
      </w:r>
    </w:p>
    <w:p w:rsidR="00F11921" w:rsidRPr="001E3568" w:rsidRDefault="00F11921" w:rsidP="007F0943">
      <w:pPr>
        <w:spacing w:line="280" w:lineRule="auto"/>
        <w:ind w:left="1304" w:firstLine="1304"/>
        <w:jc w:val="both"/>
        <w:rPr>
          <w:rFonts w:cs="Times New Roman"/>
          <w:b/>
          <w:sz w:val="24"/>
          <w:szCs w:val="24"/>
          <w:lang w:val="sv-SE"/>
        </w:rPr>
      </w:pPr>
      <w:r w:rsidRPr="001E3568">
        <w:rPr>
          <w:rFonts w:cs="Times New Roman"/>
          <w:b/>
          <w:sz w:val="24"/>
          <w:szCs w:val="24"/>
          <w:lang w:val="sv-SE"/>
        </w:rPr>
        <w:t xml:space="preserve">     </w:t>
      </w:r>
      <w:r w:rsidR="007F0943" w:rsidRPr="001E3568">
        <w:rPr>
          <w:rFonts w:cs="Times New Roman"/>
          <w:b/>
          <w:sz w:val="24"/>
          <w:szCs w:val="24"/>
          <w:lang w:val="sv-SE"/>
        </w:rPr>
        <w:t>om ändring av konkurrenslagen</w:t>
      </w:r>
    </w:p>
    <w:p w:rsidR="00F11921" w:rsidRPr="001E3568" w:rsidRDefault="00F11921" w:rsidP="00F11921">
      <w:pPr>
        <w:jc w:val="both"/>
        <w:rPr>
          <w:rFonts w:cs="Times New Roman"/>
          <w:sz w:val="24"/>
          <w:szCs w:val="24"/>
          <w:lang w:val="sv-SE"/>
        </w:rPr>
      </w:pPr>
    </w:p>
    <w:p w:rsidR="00F11921" w:rsidRPr="001E3568" w:rsidRDefault="007F0943" w:rsidP="007F0943">
      <w:pPr>
        <w:spacing w:line="280" w:lineRule="auto"/>
        <w:jc w:val="both"/>
        <w:rPr>
          <w:rFonts w:cs="Times New Roman"/>
          <w:sz w:val="24"/>
          <w:szCs w:val="24"/>
          <w:lang w:val="sv-SE"/>
        </w:rPr>
      </w:pPr>
      <w:r w:rsidRPr="001E3568">
        <w:rPr>
          <w:rFonts w:cs="Times New Roman"/>
          <w:sz w:val="24"/>
          <w:szCs w:val="24"/>
          <w:lang w:val="sv-SE"/>
        </w:rPr>
        <w:t xml:space="preserve">I enlighet med riksdagens beslut </w:t>
      </w:r>
      <w:r w:rsidRPr="001E3568">
        <w:rPr>
          <w:rFonts w:cs="Times New Roman"/>
          <w:i/>
          <w:sz w:val="24"/>
          <w:szCs w:val="24"/>
          <w:lang w:val="sv-SE"/>
        </w:rPr>
        <w:t>fogas</w:t>
      </w:r>
      <w:r w:rsidRPr="001E3568">
        <w:rPr>
          <w:rFonts w:cs="Times New Roman"/>
          <w:sz w:val="24"/>
          <w:szCs w:val="24"/>
          <w:lang w:val="sv-SE"/>
        </w:rPr>
        <w:t xml:space="preserve"> till konkurrenslagen (948/2011) nya 22 a, 23 a och 23 b § och </w:t>
      </w:r>
      <w:r w:rsidRPr="001E3568">
        <w:rPr>
          <w:rFonts w:cs="Times New Roman"/>
          <w:i/>
          <w:sz w:val="24"/>
          <w:szCs w:val="24"/>
          <w:lang w:val="sv-SE"/>
        </w:rPr>
        <w:t xml:space="preserve">ändras </w:t>
      </w:r>
      <w:r w:rsidRPr="001E3568">
        <w:rPr>
          <w:rFonts w:cs="Times New Roman"/>
          <w:sz w:val="24"/>
          <w:szCs w:val="24"/>
          <w:lang w:val="sv-SE"/>
        </w:rPr>
        <w:t>23 och 27 § som följer:</w:t>
      </w:r>
    </w:p>
    <w:p w:rsidR="00F11921" w:rsidRPr="001E3568" w:rsidRDefault="007F0943" w:rsidP="007F0943">
      <w:pPr>
        <w:spacing w:after="0" w:line="280" w:lineRule="auto"/>
        <w:jc w:val="center"/>
        <w:rPr>
          <w:rFonts w:cs="Times New Roman"/>
          <w:sz w:val="24"/>
          <w:szCs w:val="24"/>
          <w:lang w:val="sv-SE"/>
        </w:rPr>
      </w:pPr>
      <w:r w:rsidRPr="001E3568">
        <w:rPr>
          <w:rFonts w:cs="Times New Roman"/>
          <w:sz w:val="24"/>
          <w:szCs w:val="24"/>
          <w:lang w:val="sv-SE"/>
        </w:rPr>
        <w:t>22 a §</w:t>
      </w:r>
      <w:r w:rsidR="00F11921" w:rsidRPr="001E3568">
        <w:rPr>
          <w:rFonts w:cs="Times New Roman"/>
          <w:sz w:val="24"/>
          <w:szCs w:val="24"/>
          <w:lang w:val="sv-SE"/>
        </w:rPr>
        <w:t xml:space="preserve"> </w:t>
      </w:r>
    </w:p>
    <w:p w:rsidR="00F11921" w:rsidRPr="001E3568" w:rsidRDefault="007F0943" w:rsidP="007F0943">
      <w:pPr>
        <w:spacing w:after="0" w:line="280" w:lineRule="auto"/>
        <w:jc w:val="center"/>
        <w:rPr>
          <w:rFonts w:cs="Times New Roman"/>
          <w:sz w:val="24"/>
          <w:szCs w:val="24"/>
          <w:lang w:val="sv-SE"/>
        </w:rPr>
      </w:pPr>
      <w:r w:rsidRPr="001E3568">
        <w:rPr>
          <w:rFonts w:cs="Times New Roman"/>
          <w:i/>
          <w:sz w:val="24"/>
          <w:szCs w:val="24"/>
          <w:lang w:val="sv-SE"/>
        </w:rPr>
        <w:t>Tillämpningsområde i fråga om social- och hälsotjänster (ny)</w:t>
      </w:r>
    </w:p>
    <w:p w:rsidR="00F11921" w:rsidRPr="001E3568" w:rsidRDefault="00F11921" w:rsidP="00F11921">
      <w:pPr>
        <w:spacing w:after="0"/>
        <w:jc w:val="both"/>
        <w:rPr>
          <w:rFonts w:cs="Times New Roman"/>
          <w:sz w:val="24"/>
          <w:szCs w:val="24"/>
          <w:u w:val="single"/>
          <w:lang w:val="sv-SE"/>
        </w:rPr>
      </w:pPr>
    </w:p>
    <w:p w:rsidR="00F11921" w:rsidRPr="001E3568" w:rsidRDefault="007F0943" w:rsidP="007F0943">
      <w:pPr>
        <w:spacing w:after="0" w:line="280" w:lineRule="auto"/>
        <w:jc w:val="both"/>
        <w:rPr>
          <w:rFonts w:cs="Times New Roman"/>
          <w:sz w:val="24"/>
          <w:szCs w:val="24"/>
          <w:lang w:val="sv-SE"/>
        </w:rPr>
      </w:pPr>
      <w:r w:rsidRPr="001E3568">
        <w:rPr>
          <w:rFonts w:cs="Times New Roman"/>
          <w:sz w:val="24"/>
          <w:szCs w:val="24"/>
          <w:lang w:val="sv-SE"/>
        </w:rPr>
        <w:t>Oberoende av de omsättningsgränser som anges i 22 § tillämpas konkurrenslagens bestämmelser om tillsyn över företagsförvärv på företagsförvärv där</w:t>
      </w:r>
    </w:p>
    <w:p w:rsidR="00F11921" w:rsidRPr="001E3568" w:rsidRDefault="007F0943" w:rsidP="007F0943">
      <w:pPr>
        <w:spacing w:after="0" w:line="280" w:lineRule="auto"/>
        <w:jc w:val="both"/>
        <w:rPr>
          <w:rFonts w:cs="Times New Roman"/>
          <w:sz w:val="24"/>
          <w:szCs w:val="24"/>
          <w:lang w:val="sv-SE"/>
        </w:rPr>
      </w:pPr>
      <w:r w:rsidRPr="001E3568">
        <w:rPr>
          <w:rFonts w:cs="Times New Roman"/>
          <w:sz w:val="24"/>
          <w:szCs w:val="24"/>
          <w:lang w:val="sv-SE"/>
        </w:rPr>
        <w:t>1) minst två av parterna i företagsförvärvet för sina kunder producerar social- eller hälsotjänster eller laboratorietjänster eller diagnostiska avbildningstjänster i anslutning till hälsotjänster i Finland,</w:t>
      </w:r>
    </w:p>
    <w:p w:rsidR="00F11921" w:rsidRPr="001E3568" w:rsidRDefault="007F0943" w:rsidP="007F0943">
      <w:pPr>
        <w:spacing w:after="0" w:line="280" w:lineRule="auto"/>
        <w:jc w:val="both"/>
        <w:rPr>
          <w:rFonts w:cs="Times New Roman"/>
          <w:sz w:val="24"/>
          <w:szCs w:val="24"/>
          <w:lang w:val="sv-SE"/>
        </w:rPr>
      </w:pPr>
      <w:r w:rsidRPr="001E3568">
        <w:rPr>
          <w:rFonts w:cs="Times New Roman"/>
          <w:sz w:val="24"/>
          <w:szCs w:val="24"/>
          <w:lang w:val="sv-SE"/>
        </w:rPr>
        <w:t>2) parterna i företagsförvärvet tillsammans har en omsättning som överskrider 20 miljoner euro eller minst två av parterna i företagsförvärvet var har en omsättning i Finland som överskrider 2 miljoner euro.</w:t>
      </w:r>
    </w:p>
    <w:p w:rsidR="00F11921" w:rsidRPr="001E3568" w:rsidRDefault="00F11921" w:rsidP="00F11921">
      <w:pPr>
        <w:spacing w:after="0"/>
        <w:jc w:val="center"/>
        <w:rPr>
          <w:rFonts w:cs="Times New Roman"/>
          <w:sz w:val="24"/>
          <w:szCs w:val="24"/>
          <w:lang w:val="sv-SE"/>
        </w:rPr>
      </w:pPr>
      <w:r w:rsidRPr="001E3568">
        <w:rPr>
          <w:rFonts w:cs="Times New Roman"/>
          <w:sz w:val="24"/>
          <w:szCs w:val="24"/>
          <w:lang w:val="sv-SE"/>
        </w:rPr>
        <w:t xml:space="preserve">23 § </w:t>
      </w:r>
    </w:p>
    <w:p w:rsidR="00F11921" w:rsidRPr="001E3568" w:rsidRDefault="007F0943" w:rsidP="007F0943">
      <w:pPr>
        <w:spacing w:after="0" w:line="280" w:lineRule="auto"/>
        <w:jc w:val="center"/>
        <w:rPr>
          <w:rFonts w:cs="Times New Roman"/>
          <w:i/>
          <w:sz w:val="24"/>
          <w:szCs w:val="24"/>
          <w:lang w:val="sv-SE"/>
        </w:rPr>
      </w:pPr>
      <w:r w:rsidRPr="001E3568">
        <w:rPr>
          <w:rFonts w:cs="Times New Roman"/>
          <w:i/>
          <w:sz w:val="24"/>
          <w:szCs w:val="24"/>
          <w:lang w:val="sv-SE"/>
        </w:rPr>
        <w:t>Anmälan om företagsförvärv</w:t>
      </w:r>
    </w:p>
    <w:p w:rsidR="00F11921" w:rsidRPr="001E3568" w:rsidRDefault="00F11921" w:rsidP="00F11921">
      <w:pPr>
        <w:spacing w:after="0"/>
        <w:jc w:val="both"/>
        <w:rPr>
          <w:rFonts w:cs="Times New Roman"/>
          <w:sz w:val="24"/>
          <w:szCs w:val="24"/>
          <w:u w:val="single"/>
          <w:lang w:val="sv-SE"/>
        </w:rPr>
      </w:pPr>
    </w:p>
    <w:p w:rsidR="00F11921" w:rsidRPr="001E3568" w:rsidRDefault="007F0943" w:rsidP="007F0943">
      <w:pPr>
        <w:spacing w:after="0" w:line="280" w:lineRule="auto"/>
        <w:jc w:val="both"/>
        <w:rPr>
          <w:rFonts w:cs="Times New Roman"/>
          <w:sz w:val="24"/>
          <w:szCs w:val="24"/>
          <w:lang w:val="sv-SE"/>
        </w:rPr>
      </w:pPr>
      <w:r w:rsidRPr="001E3568">
        <w:rPr>
          <w:rFonts w:cs="Times New Roman"/>
          <w:sz w:val="24"/>
          <w:szCs w:val="24"/>
          <w:lang w:val="sv-SE"/>
        </w:rPr>
        <w:t xml:space="preserve">Företagsförvärv enligt 22 § och 22 a § ska anmälas till Konkurrens- och konsumentverket efter det att avtal ingåtts, bestämmanderätt förvärvats eller ett offentligt köpeanbud enligt 6 kap. 3 § i värdepappersmarknadslagen (495/1989) offentliggjorts, men dock innan förvärvet har verkställts. </w:t>
      </w:r>
      <w:r w:rsidR="00F11921" w:rsidRPr="001E3568">
        <w:rPr>
          <w:rFonts w:cs="Times New Roman"/>
          <w:sz w:val="24"/>
          <w:szCs w:val="24"/>
          <w:lang w:val="sv-SE"/>
        </w:rPr>
        <w:t xml:space="preserve"> </w:t>
      </w:r>
      <w:r w:rsidRPr="001E3568">
        <w:rPr>
          <w:rFonts w:cs="Times New Roman"/>
          <w:sz w:val="24"/>
          <w:szCs w:val="24"/>
          <w:lang w:val="sv-SE"/>
        </w:rPr>
        <w:t>Företagsförvärvet kan också anmälas till Konkurrens- och konsumentverket omedelbart efter det att parterna med tillräcklig säkerhet kan visa att de har för avsikt att genomföra ett företagsförvärv.</w:t>
      </w:r>
    </w:p>
    <w:p w:rsidR="00F11921" w:rsidRPr="001E3568" w:rsidRDefault="00F11921" w:rsidP="00F11921">
      <w:pPr>
        <w:spacing w:after="0"/>
        <w:jc w:val="both"/>
        <w:rPr>
          <w:rFonts w:cs="Times New Roman"/>
          <w:sz w:val="24"/>
          <w:szCs w:val="24"/>
          <w:lang w:val="sv-SE"/>
        </w:rPr>
      </w:pPr>
    </w:p>
    <w:p w:rsidR="00F11921" w:rsidRPr="001E3568" w:rsidRDefault="007F0943" w:rsidP="007F0943">
      <w:pPr>
        <w:spacing w:after="0" w:line="280" w:lineRule="auto"/>
        <w:jc w:val="both"/>
        <w:rPr>
          <w:rFonts w:cs="Times New Roman"/>
          <w:sz w:val="24"/>
          <w:szCs w:val="24"/>
          <w:lang w:val="sv-SE"/>
        </w:rPr>
      </w:pPr>
      <w:r w:rsidRPr="001E3568">
        <w:rPr>
          <w:rFonts w:cs="Times New Roman"/>
          <w:sz w:val="24"/>
          <w:szCs w:val="24"/>
          <w:lang w:val="sv-SE"/>
        </w:rPr>
        <w:t xml:space="preserve">Sådant företagsförvärv på vilket bestämmelserna i 3 eller 10 kap. i lagen om arbetspensionsförsäkringsbolag (354/1997), 11 kap. i lagen om pensionsstiftelser (1774/1995) eller 12 kap. i lagen om försäkringskassor (1164/1992) tillämpas, ska anmälas till Konkurrens- och konsumentverket när parterna i förvärvsavtalet har fått kännedom om Finansinspektionens samtycke eller om att Finansinspektionen inte motsätter sig förvärvet. </w:t>
      </w:r>
      <w:r w:rsidR="00F11921" w:rsidRPr="001E3568">
        <w:rPr>
          <w:rFonts w:cs="Times New Roman"/>
          <w:sz w:val="24"/>
          <w:szCs w:val="24"/>
          <w:lang w:val="sv-SE"/>
        </w:rPr>
        <w:t xml:space="preserve"> </w:t>
      </w:r>
      <w:r w:rsidRPr="001E3568">
        <w:rPr>
          <w:rFonts w:cs="Times New Roman"/>
          <w:sz w:val="24"/>
          <w:szCs w:val="24"/>
          <w:lang w:val="sv-SE"/>
        </w:rPr>
        <w:t xml:space="preserve">Någon anmälan om företagsförvärv </w:t>
      </w:r>
      <w:proofErr w:type="gramStart"/>
      <w:r w:rsidRPr="001E3568">
        <w:rPr>
          <w:rFonts w:cs="Times New Roman"/>
          <w:sz w:val="24"/>
          <w:szCs w:val="24"/>
          <w:lang w:val="sv-SE"/>
        </w:rPr>
        <w:t>behöver dock</w:t>
      </w:r>
      <w:proofErr w:type="gramEnd"/>
      <w:r w:rsidRPr="001E3568">
        <w:rPr>
          <w:rFonts w:cs="Times New Roman"/>
          <w:sz w:val="24"/>
          <w:szCs w:val="24"/>
          <w:lang w:val="sv-SE"/>
        </w:rPr>
        <w:t xml:space="preserve"> inte göras om Finansinspektionen, i enlighet med vad som bestäms i någon lag som nämns ovan i detta moment, av Konkurrens- och konsumentverket begärt ett utlåtande angående förvärvet och om Konkurrens- och </w:t>
      </w:r>
      <w:r w:rsidRPr="001E3568">
        <w:rPr>
          <w:rFonts w:cs="Times New Roman"/>
          <w:sz w:val="24"/>
          <w:szCs w:val="24"/>
          <w:lang w:val="sv-SE"/>
        </w:rPr>
        <w:lastRenderedPageBreak/>
        <w:t>konsumentverket i sitt utlåtande har ansett att det inte föreligger något hinder för godkännande av förvärvet.</w:t>
      </w:r>
      <w:r w:rsidR="00F11921" w:rsidRPr="001E3568">
        <w:rPr>
          <w:rFonts w:cs="Times New Roman"/>
          <w:sz w:val="24"/>
          <w:szCs w:val="24"/>
          <w:lang w:val="sv-SE"/>
        </w:rPr>
        <w:t xml:space="preserve"> </w:t>
      </w:r>
    </w:p>
    <w:p w:rsidR="00F11921" w:rsidRPr="001E3568" w:rsidRDefault="00F11921" w:rsidP="00F11921">
      <w:pPr>
        <w:spacing w:after="0"/>
        <w:jc w:val="both"/>
        <w:rPr>
          <w:rFonts w:cs="Times New Roman"/>
          <w:sz w:val="24"/>
          <w:szCs w:val="24"/>
          <w:lang w:val="sv-SE"/>
        </w:rPr>
      </w:pPr>
    </w:p>
    <w:p w:rsidR="00F11921" w:rsidRPr="001E3568" w:rsidRDefault="007F0943" w:rsidP="007F0943">
      <w:pPr>
        <w:spacing w:after="0" w:line="280" w:lineRule="auto"/>
        <w:jc w:val="both"/>
        <w:rPr>
          <w:rFonts w:cs="Times New Roman"/>
          <w:sz w:val="24"/>
          <w:szCs w:val="24"/>
          <w:lang w:val="sv-SE"/>
        </w:rPr>
      </w:pPr>
      <w:r w:rsidRPr="001E3568">
        <w:rPr>
          <w:rFonts w:cs="Times New Roman"/>
          <w:sz w:val="24"/>
          <w:szCs w:val="24"/>
          <w:lang w:val="sv-SE"/>
        </w:rPr>
        <w:t>Anmälningsskyldigheten gäller den som förvärvar bestämmanderätt, den som förvärvar en rörelse eller en del av den, de sammanslutningar och stiftelser som deltar i en fusion samt bildarna av ett samföretag.</w:t>
      </w:r>
    </w:p>
    <w:p w:rsidR="00F11921" w:rsidRPr="001E3568" w:rsidRDefault="00F11921" w:rsidP="00F11921">
      <w:pPr>
        <w:spacing w:after="0"/>
        <w:jc w:val="both"/>
        <w:rPr>
          <w:rFonts w:cs="Times New Roman"/>
          <w:sz w:val="24"/>
          <w:szCs w:val="24"/>
          <w:lang w:val="sv-SE"/>
        </w:rPr>
      </w:pPr>
    </w:p>
    <w:p w:rsidR="00F11921" w:rsidRPr="001E3568" w:rsidRDefault="007F0943" w:rsidP="007F0943">
      <w:pPr>
        <w:spacing w:after="0" w:line="280" w:lineRule="auto"/>
        <w:jc w:val="both"/>
        <w:rPr>
          <w:rFonts w:cs="Times New Roman"/>
          <w:sz w:val="24"/>
          <w:szCs w:val="24"/>
          <w:lang w:val="sv-SE"/>
        </w:rPr>
      </w:pPr>
      <w:r w:rsidRPr="001E3568">
        <w:rPr>
          <w:rFonts w:cs="Times New Roman"/>
          <w:sz w:val="24"/>
          <w:szCs w:val="24"/>
          <w:lang w:val="sv-SE"/>
        </w:rPr>
        <w:t>Närmare bestämmelser om den anmälningsskyldighet som avses i 1 mom. utfärdas genom förordning av statsrådet.</w:t>
      </w:r>
    </w:p>
    <w:p w:rsidR="00F11921" w:rsidRPr="001E3568" w:rsidRDefault="00F11921" w:rsidP="00F11921">
      <w:pPr>
        <w:spacing w:after="0"/>
        <w:jc w:val="both"/>
        <w:rPr>
          <w:rFonts w:cs="Times New Roman"/>
          <w:sz w:val="24"/>
          <w:szCs w:val="24"/>
          <w:lang w:val="sv-SE"/>
        </w:rPr>
      </w:pPr>
    </w:p>
    <w:p w:rsidR="00F11921" w:rsidRPr="001E3568" w:rsidRDefault="007F0943" w:rsidP="007F0943">
      <w:pPr>
        <w:spacing w:after="0" w:line="280" w:lineRule="auto"/>
        <w:jc w:val="both"/>
        <w:rPr>
          <w:rFonts w:cs="Times New Roman"/>
          <w:sz w:val="24"/>
          <w:szCs w:val="24"/>
          <w:lang w:val="sv-SE"/>
        </w:rPr>
      </w:pPr>
      <w:r w:rsidRPr="001E3568">
        <w:rPr>
          <w:rFonts w:cs="Times New Roman"/>
          <w:sz w:val="24"/>
          <w:szCs w:val="24"/>
          <w:lang w:val="sv-SE"/>
        </w:rPr>
        <w:t>Bestämmelser om Konkurrens- och konsumentverkets befogenheter att förrätta inspektioner i samband med behandlingen av ärenden som rör tillsyn över företagsförvärv finns i 33, 35, 37, 38 och 46 §.</w:t>
      </w:r>
      <w:r w:rsidR="00F11921" w:rsidRPr="001E3568">
        <w:rPr>
          <w:rFonts w:cs="Times New Roman"/>
          <w:sz w:val="24"/>
          <w:szCs w:val="24"/>
          <w:lang w:val="sv-SE"/>
        </w:rPr>
        <w:t xml:space="preserve"> </w:t>
      </w:r>
    </w:p>
    <w:p w:rsidR="00F11921" w:rsidRPr="001E3568" w:rsidRDefault="00F11921" w:rsidP="00F11921">
      <w:pPr>
        <w:spacing w:after="0"/>
        <w:jc w:val="both"/>
        <w:rPr>
          <w:rFonts w:cs="Times New Roman"/>
          <w:sz w:val="24"/>
          <w:szCs w:val="24"/>
          <w:lang w:val="sv-SE"/>
        </w:rPr>
      </w:pPr>
    </w:p>
    <w:p w:rsidR="00F11921" w:rsidRPr="001E3568" w:rsidRDefault="007F0943" w:rsidP="007F0943">
      <w:pPr>
        <w:spacing w:after="0" w:line="280" w:lineRule="auto"/>
        <w:jc w:val="center"/>
        <w:rPr>
          <w:rFonts w:cs="Times New Roman"/>
          <w:sz w:val="24"/>
          <w:szCs w:val="24"/>
          <w:lang w:val="sv-SE"/>
        </w:rPr>
      </w:pPr>
      <w:r w:rsidRPr="001E3568">
        <w:rPr>
          <w:rFonts w:cs="Times New Roman"/>
          <w:sz w:val="24"/>
          <w:szCs w:val="24"/>
          <w:lang w:val="sv-SE"/>
        </w:rPr>
        <w:t>23 a §</w:t>
      </w:r>
      <w:r w:rsidR="00F11921" w:rsidRPr="001E3568">
        <w:rPr>
          <w:rFonts w:cs="Times New Roman"/>
          <w:sz w:val="24"/>
          <w:szCs w:val="24"/>
          <w:lang w:val="sv-SE"/>
        </w:rPr>
        <w:t xml:space="preserve"> </w:t>
      </w:r>
    </w:p>
    <w:p w:rsidR="007F0943" w:rsidRPr="001E3568" w:rsidRDefault="007F0943" w:rsidP="007F0943">
      <w:pPr>
        <w:spacing w:after="0" w:line="280" w:lineRule="auto"/>
        <w:jc w:val="center"/>
        <w:rPr>
          <w:lang w:val="sv-SE"/>
        </w:rPr>
      </w:pPr>
      <w:r w:rsidRPr="001E3568">
        <w:rPr>
          <w:rFonts w:cs="Times New Roman"/>
          <w:i/>
          <w:sz w:val="24"/>
          <w:szCs w:val="24"/>
          <w:lang w:val="sv-SE"/>
        </w:rPr>
        <w:t>Kravet angående anmälning av företagsförvärv (ny)</w:t>
      </w:r>
    </w:p>
    <w:p w:rsidR="00F11921" w:rsidRPr="001E3568" w:rsidRDefault="00F11921" w:rsidP="007F0943">
      <w:pPr>
        <w:spacing w:after="0" w:line="240" w:lineRule="auto"/>
        <w:jc w:val="center"/>
        <w:rPr>
          <w:rFonts w:cs="Times New Roman"/>
          <w:sz w:val="24"/>
          <w:szCs w:val="24"/>
          <w:lang w:val="sv-SE"/>
        </w:rPr>
      </w:pPr>
    </w:p>
    <w:p w:rsidR="00F11921" w:rsidRPr="001E3568" w:rsidRDefault="00F11921" w:rsidP="00F11921">
      <w:pPr>
        <w:spacing w:after="0"/>
        <w:jc w:val="both"/>
        <w:rPr>
          <w:rFonts w:cs="Times New Roman"/>
          <w:sz w:val="24"/>
          <w:szCs w:val="24"/>
          <w:lang w:val="sv-SE"/>
        </w:rPr>
      </w:pPr>
    </w:p>
    <w:p w:rsidR="00F11921" w:rsidRPr="001E3568" w:rsidRDefault="00271B75" w:rsidP="00271B75">
      <w:pPr>
        <w:spacing w:after="0" w:line="280" w:lineRule="auto"/>
        <w:jc w:val="both"/>
        <w:rPr>
          <w:rFonts w:cs="Times New Roman"/>
          <w:sz w:val="24"/>
          <w:szCs w:val="24"/>
          <w:lang w:val="sv-SE"/>
        </w:rPr>
      </w:pPr>
      <w:r w:rsidRPr="001E3568">
        <w:rPr>
          <w:rFonts w:cs="Times New Roman"/>
          <w:sz w:val="24"/>
          <w:szCs w:val="24"/>
          <w:lang w:val="sv-SE"/>
        </w:rPr>
        <w:t>Konkurrens- och konsumentverket kan av särskilda skäl kräva att företagsförvärv enligt 22 a § anmäls trots att de omsättningsgränser som satts upp i paragrafen inte överskrids, om</w:t>
      </w:r>
    </w:p>
    <w:p w:rsidR="00F11921" w:rsidRPr="001E3568" w:rsidRDefault="00271B75" w:rsidP="000D4141">
      <w:pPr>
        <w:spacing w:after="0" w:line="280" w:lineRule="auto"/>
        <w:jc w:val="both"/>
        <w:rPr>
          <w:rFonts w:cs="Times New Roman"/>
          <w:sz w:val="24"/>
          <w:szCs w:val="24"/>
          <w:lang w:val="sv-SE"/>
        </w:rPr>
      </w:pPr>
      <w:r w:rsidRPr="001E3568">
        <w:rPr>
          <w:rFonts w:cs="Times New Roman"/>
          <w:sz w:val="24"/>
          <w:szCs w:val="24"/>
          <w:lang w:val="sv-SE"/>
        </w:rPr>
        <w:t>1) minst två av parterna i företagsförvärvet var har en omsättning i Finland som överskrider 1 miljon euro och</w:t>
      </w:r>
    </w:p>
    <w:p w:rsidR="00F11921" w:rsidRPr="001E3568" w:rsidRDefault="000D4141" w:rsidP="000D4141">
      <w:pPr>
        <w:spacing w:after="0" w:line="280" w:lineRule="auto"/>
        <w:jc w:val="both"/>
        <w:rPr>
          <w:rFonts w:cs="Times New Roman"/>
          <w:sz w:val="24"/>
          <w:szCs w:val="24"/>
          <w:lang w:val="sv-SE"/>
        </w:rPr>
      </w:pPr>
      <w:r w:rsidRPr="001E3568">
        <w:rPr>
          <w:rFonts w:cs="Times New Roman"/>
          <w:sz w:val="24"/>
          <w:szCs w:val="24"/>
          <w:lang w:val="sv-SE"/>
        </w:rPr>
        <w:t>2) högst sex månader har förflutit sedan företagsförvärvet verkställts.</w:t>
      </w:r>
    </w:p>
    <w:p w:rsidR="00F11921" w:rsidRPr="001E3568" w:rsidRDefault="00F11921" w:rsidP="00F11921">
      <w:pPr>
        <w:spacing w:after="0"/>
        <w:jc w:val="both"/>
        <w:rPr>
          <w:rFonts w:cs="Times New Roman"/>
          <w:sz w:val="24"/>
          <w:szCs w:val="24"/>
          <w:lang w:val="sv-SE"/>
        </w:rPr>
      </w:pPr>
    </w:p>
    <w:p w:rsidR="00F11921" w:rsidRPr="001E3568" w:rsidRDefault="000D4141" w:rsidP="000D4141">
      <w:pPr>
        <w:spacing w:after="0" w:line="280" w:lineRule="auto"/>
        <w:jc w:val="center"/>
        <w:rPr>
          <w:rFonts w:cs="Times New Roman"/>
          <w:sz w:val="24"/>
          <w:szCs w:val="24"/>
          <w:lang w:val="sv-SE"/>
        </w:rPr>
      </w:pPr>
      <w:r w:rsidRPr="001E3568">
        <w:rPr>
          <w:rFonts w:cs="Times New Roman"/>
          <w:sz w:val="24"/>
          <w:szCs w:val="24"/>
          <w:lang w:val="sv-SE"/>
        </w:rPr>
        <w:t>23 b §</w:t>
      </w:r>
      <w:r w:rsidR="00F11921" w:rsidRPr="001E3568">
        <w:rPr>
          <w:rFonts w:cs="Times New Roman"/>
          <w:sz w:val="24"/>
          <w:szCs w:val="24"/>
          <w:lang w:val="sv-SE"/>
        </w:rPr>
        <w:t xml:space="preserve"> </w:t>
      </w:r>
    </w:p>
    <w:p w:rsidR="00F11921" w:rsidRPr="001E3568" w:rsidRDefault="000D4141" w:rsidP="000D4141">
      <w:pPr>
        <w:spacing w:after="0" w:line="280" w:lineRule="auto"/>
        <w:jc w:val="center"/>
        <w:rPr>
          <w:rFonts w:cs="Times New Roman"/>
          <w:sz w:val="24"/>
          <w:szCs w:val="24"/>
          <w:lang w:val="sv-SE"/>
        </w:rPr>
      </w:pPr>
      <w:r w:rsidRPr="001E3568">
        <w:rPr>
          <w:rFonts w:cs="Times New Roman"/>
          <w:i/>
          <w:sz w:val="24"/>
          <w:szCs w:val="24"/>
          <w:lang w:val="sv-SE"/>
        </w:rPr>
        <w:t>Frivillig anmälan om företagsförvärv (ny)</w:t>
      </w:r>
    </w:p>
    <w:p w:rsidR="00F11921" w:rsidRPr="001E3568" w:rsidRDefault="00F11921" w:rsidP="00F11921">
      <w:pPr>
        <w:spacing w:after="0"/>
        <w:jc w:val="both"/>
        <w:rPr>
          <w:rFonts w:cs="Times New Roman"/>
          <w:i/>
          <w:sz w:val="24"/>
          <w:szCs w:val="24"/>
          <w:lang w:val="sv-SE"/>
        </w:rPr>
      </w:pPr>
    </w:p>
    <w:p w:rsidR="000D4141" w:rsidRPr="001E3568" w:rsidRDefault="000D4141" w:rsidP="000D4141">
      <w:pPr>
        <w:spacing w:after="0" w:line="280" w:lineRule="auto"/>
        <w:jc w:val="both"/>
        <w:rPr>
          <w:lang w:val="sv-SE"/>
        </w:rPr>
      </w:pPr>
      <w:r w:rsidRPr="001E3568">
        <w:rPr>
          <w:rFonts w:cs="Times New Roman"/>
          <w:sz w:val="24"/>
          <w:szCs w:val="24"/>
          <w:lang w:val="sv-SE"/>
        </w:rPr>
        <w:t>De som förvärvar bestämmanderätt, de som förvärvar en rörelse eller en del av den, de sammanslutningar och stiftelser som deltar i en fusion samt bildarna av samföretag kan frivilligt anmäla ett i 22 a § avsett företagsförvärv till Konkurrens- och konsumentverket, om omsättningsgränsen enligt 23 a § överskrids.</w:t>
      </w:r>
    </w:p>
    <w:p w:rsidR="00F11921" w:rsidRPr="001E3568" w:rsidRDefault="00F11921" w:rsidP="000D4141">
      <w:pPr>
        <w:spacing w:after="0" w:line="280" w:lineRule="auto"/>
        <w:jc w:val="both"/>
        <w:rPr>
          <w:rFonts w:cs="Times New Roman"/>
          <w:sz w:val="24"/>
          <w:szCs w:val="24"/>
          <w:lang w:val="sv-SE"/>
        </w:rPr>
      </w:pPr>
    </w:p>
    <w:p w:rsidR="00F11921" w:rsidRPr="001E3568" w:rsidRDefault="00F11921" w:rsidP="00F11921">
      <w:pPr>
        <w:spacing w:after="0"/>
        <w:jc w:val="center"/>
        <w:rPr>
          <w:rFonts w:cs="Times New Roman"/>
          <w:sz w:val="24"/>
          <w:szCs w:val="24"/>
          <w:lang w:val="sv-SE"/>
        </w:rPr>
      </w:pPr>
      <w:r w:rsidRPr="001E3568">
        <w:rPr>
          <w:rFonts w:cs="Times New Roman"/>
          <w:sz w:val="24"/>
          <w:szCs w:val="24"/>
          <w:lang w:val="sv-SE"/>
        </w:rPr>
        <w:t xml:space="preserve">27 § </w:t>
      </w:r>
    </w:p>
    <w:p w:rsidR="00F11921" w:rsidRPr="001E3568" w:rsidRDefault="000D4141" w:rsidP="00B52DBF">
      <w:pPr>
        <w:spacing w:after="0" w:line="280" w:lineRule="auto"/>
        <w:jc w:val="center"/>
        <w:rPr>
          <w:rFonts w:cs="Times New Roman"/>
          <w:i/>
          <w:sz w:val="24"/>
          <w:szCs w:val="24"/>
          <w:lang w:val="sv-SE"/>
        </w:rPr>
      </w:pPr>
      <w:r w:rsidRPr="001E3568">
        <w:rPr>
          <w:rFonts w:cs="Times New Roman"/>
          <w:i/>
          <w:sz w:val="24"/>
          <w:szCs w:val="24"/>
          <w:lang w:val="sv-SE"/>
        </w:rPr>
        <w:t>Verkställande av företagsförvärv</w:t>
      </w:r>
    </w:p>
    <w:p w:rsidR="00F11921" w:rsidRPr="001E3568" w:rsidRDefault="00F11921" w:rsidP="00F11921">
      <w:pPr>
        <w:spacing w:after="0"/>
        <w:jc w:val="both"/>
        <w:rPr>
          <w:rFonts w:cs="Times New Roman"/>
          <w:sz w:val="24"/>
          <w:szCs w:val="24"/>
          <w:lang w:val="sv-SE"/>
        </w:rPr>
      </w:pPr>
    </w:p>
    <w:p w:rsidR="00F11921" w:rsidRPr="001E3568" w:rsidRDefault="000D4141" w:rsidP="00B52DBF">
      <w:pPr>
        <w:spacing w:after="0" w:line="280" w:lineRule="auto"/>
        <w:jc w:val="both"/>
        <w:rPr>
          <w:rFonts w:cs="Times New Roman"/>
          <w:sz w:val="24"/>
          <w:szCs w:val="24"/>
          <w:lang w:val="sv-SE"/>
        </w:rPr>
      </w:pPr>
      <w:r w:rsidRPr="001E3568">
        <w:rPr>
          <w:rFonts w:cs="Times New Roman"/>
          <w:sz w:val="24"/>
          <w:szCs w:val="24"/>
          <w:lang w:val="sv-SE"/>
        </w:rPr>
        <w:t xml:space="preserve">Parterna får inte vidta några åtgärder för att fullfölja ett företagsförvärv, om inte något annat bestäms i denna lag eller under behandlingen av ärendet, förrän företagsförvärvet har godkänts ovillkorligt eller villkorligt eller förvärvet annars ska anses ha blivit godkänt. </w:t>
      </w:r>
      <w:r w:rsidR="00F11921" w:rsidRPr="001E3568">
        <w:rPr>
          <w:rFonts w:cs="Times New Roman"/>
          <w:sz w:val="24"/>
          <w:szCs w:val="24"/>
          <w:lang w:val="sv-SE"/>
        </w:rPr>
        <w:t xml:space="preserve"> </w:t>
      </w:r>
      <w:r w:rsidR="00B52DBF" w:rsidRPr="001E3568">
        <w:rPr>
          <w:rFonts w:cs="Times New Roman"/>
          <w:i/>
          <w:sz w:val="24"/>
          <w:szCs w:val="24"/>
          <w:lang w:val="sv-SE"/>
        </w:rPr>
        <w:t>Detta gäller även företagsförvärv som frivilligt anmäls till Konkurrens- och konsumentverket med stöd av 23 b §.</w:t>
      </w:r>
    </w:p>
    <w:p w:rsidR="00F11921" w:rsidRPr="001E3568" w:rsidRDefault="00F11921" w:rsidP="00F11921">
      <w:pPr>
        <w:spacing w:after="0"/>
        <w:jc w:val="both"/>
        <w:rPr>
          <w:rFonts w:cs="Times New Roman"/>
          <w:sz w:val="24"/>
          <w:szCs w:val="24"/>
          <w:lang w:val="sv-SE"/>
        </w:rPr>
      </w:pPr>
    </w:p>
    <w:p w:rsidR="00F11921" w:rsidRPr="001E3568" w:rsidRDefault="00B52DBF" w:rsidP="00B52DBF">
      <w:pPr>
        <w:spacing w:after="0" w:line="280" w:lineRule="auto"/>
        <w:jc w:val="both"/>
        <w:rPr>
          <w:rFonts w:cs="Times New Roman"/>
          <w:sz w:val="24"/>
          <w:szCs w:val="24"/>
          <w:lang w:val="sv-SE"/>
        </w:rPr>
      </w:pPr>
      <w:r w:rsidRPr="001E3568">
        <w:rPr>
          <w:rFonts w:cs="Times New Roman"/>
          <w:sz w:val="24"/>
          <w:szCs w:val="24"/>
          <w:lang w:val="sv-SE"/>
        </w:rPr>
        <w:lastRenderedPageBreak/>
        <w:t>Vad som föreskrivs i 1 mom. utgör inget hinder för att fullfölja ett offentligt köpeanbud enligt 6 kap. 1 § i värdepappersmarknadslagen eller ett obligatoriskt köpeanbud enligt 6 kap. 10 § 1 mom. i den lagen eller att använda inlösenrätt eller fullgöra inlösenskyldighet enligt 18 kap. 1 § 1 mom. i aktiebolagslagen (624/2006).</w:t>
      </w:r>
    </w:p>
    <w:p w:rsidR="00F11921" w:rsidRPr="001E3568" w:rsidRDefault="00F11921" w:rsidP="00F11921">
      <w:pPr>
        <w:spacing w:after="0"/>
        <w:jc w:val="both"/>
        <w:rPr>
          <w:rFonts w:cs="Times New Roman"/>
          <w:sz w:val="24"/>
          <w:szCs w:val="24"/>
          <w:lang w:val="sv-SE"/>
        </w:rPr>
      </w:pPr>
    </w:p>
    <w:p w:rsidR="00F11921" w:rsidRPr="001E3568" w:rsidRDefault="00B52DBF" w:rsidP="00B52DBF">
      <w:pPr>
        <w:spacing w:after="0" w:line="280" w:lineRule="auto"/>
        <w:jc w:val="both"/>
        <w:rPr>
          <w:rFonts w:cs="Times New Roman"/>
          <w:sz w:val="24"/>
          <w:szCs w:val="24"/>
          <w:lang w:val="sv-SE"/>
        </w:rPr>
      </w:pPr>
      <w:r w:rsidRPr="001E3568">
        <w:rPr>
          <w:rFonts w:cs="Times New Roman"/>
          <w:sz w:val="24"/>
          <w:szCs w:val="24"/>
          <w:lang w:val="sv-SE"/>
        </w:rPr>
        <w:t>Vad som föreskrivs i 1 mom. utgör inget hinder för meddelande av tillstånd att verkställa fusion.</w:t>
      </w:r>
      <w:r w:rsidR="00F11921" w:rsidRPr="001E3568">
        <w:rPr>
          <w:rFonts w:cs="Times New Roman"/>
          <w:sz w:val="24"/>
          <w:szCs w:val="24"/>
          <w:lang w:val="sv-SE"/>
        </w:rPr>
        <w:t xml:space="preserve"> </w:t>
      </w:r>
      <w:r w:rsidRPr="001E3568">
        <w:rPr>
          <w:rFonts w:cs="Times New Roman"/>
          <w:sz w:val="24"/>
          <w:szCs w:val="24"/>
          <w:lang w:val="sv-SE"/>
        </w:rPr>
        <w:t>Verkställande av fusion får dock inte registreras förrän företagsförvärvet har godkänts ovillkorligt eller villkorligt eller förvärvet annars ska anses ha blivit godkänt.</w:t>
      </w:r>
    </w:p>
    <w:p w:rsidR="00F11921" w:rsidRPr="001E3568" w:rsidRDefault="00F11921" w:rsidP="00F11921">
      <w:pPr>
        <w:spacing w:after="0"/>
        <w:jc w:val="both"/>
        <w:rPr>
          <w:rFonts w:cs="Times New Roman"/>
          <w:sz w:val="24"/>
          <w:szCs w:val="24"/>
          <w:lang w:val="sv-SE"/>
        </w:rPr>
      </w:pPr>
    </w:p>
    <w:p w:rsidR="00F11921" w:rsidRPr="001E3568" w:rsidRDefault="00B52DBF" w:rsidP="00B52DBF">
      <w:pPr>
        <w:spacing w:after="0" w:line="280" w:lineRule="auto"/>
        <w:jc w:val="both"/>
        <w:rPr>
          <w:rFonts w:cs="Times New Roman"/>
          <w:sz w:val="24"/>
          <w:szCs w:val="24"/>
          <w:lang w:val="sv-SE"/>
        </w:rPr>
      </w:pPr>
      <w:r w:rsidRPr="001E3568">
        <w:rPr>
          <w:rFonts w:cs="Times New Roman"/>
          <w:sz w:val="24"/>
          <w:szCs w:val="24"/>
          <w:lang w:val="sv-SE"/>
        </w:rPr>
        <w:t>Vad som föreskrivs i 3 mom. tillämpas också på sådan överlåtelse av affärsverksamheten som avses i lagen om affärsbanker och andra kreditinstitut i aktiebolagsform (1501/2001), lagen om andelsbanker och andra kreditinstitut i andelslagsform (1504/2001) samt i sparbankslagen (1502/2001).</w:t>
      </w:r>
    </w:p>
    <w:p w:rsidR="00F11921" w:rsidRPr="001E3568" w:rsidRDefault="00F11921" w:rsidP="00F11921">
      <w:pPr>
        <w:spacing w:after="0"/>
        <w:jc w:val="both"/>
        <w:rPr>
          <w:rFonts w:cs="Times New Roman"/>
          <w:sz w:val="24"/>
          <w:szCs w:val="24"/>
          <w:lang w:val="sv-SE"/>
        </w:rPr>
      </w:pPr>
    </w:p>
    <w:p w:rsidR="00F11921" w:rsidRPr="001E3568" w:rsidRDefault="00B52DBF" w:rsidP="00B52DBF">
      <w:pPr>
        <w:spacing w:after="0" w:line="280" w:lineRule="auto"/>
        <w:jc w:val="both"/>
        <w:rPr>
          <w:rFonts w:cs="Times New Roman"/>
          <w:i/>
          <w:sz w:val="24"/>
          <w:szCs w:val="24"/>
          <w:lang w:val="sv-SE"/>
        </w:rPr>
      </w:pPr>
      <w:r w:rsidRPr="001E3568">
        <w:rPr>
          <w:rFonts w:cs="Times New Roman"/>
          <w:i/>
          <w:sz w:val="24"/>
          <w:szCs w:val="24"/>
          <w:lang w:val="sv-SE"/>
        </w:rPr>
        <w:t>Om Konkurrens- och konsumentverket med stöd av 23 a § krävt att företagsförvärvet ska anmälas får inte parterna vidta några åtgärder för att fullfölja ett företagsförvärv, om inte något annat föreskrivs i denna lag eller under behandlingen av ärendet, förrän företagsförvärvet har godkänts ovillkorligt eller villkorligt eller förvärvet annars ska anses ha blivit godkänt.</w:t>
      </w:r>
      <w:r w:rsidR="00F11921" w:rsidRPr="001E3568">
        <w:rPr>
          <w:rFonts w:cs="Times New Roman"/>
          <w:i/>
          <w:sz w:val="24"/>
          <w:szCs w:val="24"/>
          <w:lang w:val="sv-SE"/>
        </w:rPr>
        <w:t xml:space="preserve"> </w:t>
      </w:r>
      <w:r w:rsidRPr="001E3568">
        <w:rPr>
          <w:rFonts w:cs="Times New Roman"/>
          <w:i/>
          <w:sz w:val="24"/>
          <w:szCs w:val="24"/>
          <w:lang w:val="sv-SE"/>
        </w:rPr>
        <w:t>Om ett sådant företagsförvärv redan har fullföljts, ska parterna i företagsförvärvet avhålla sig från ytterligare verkställighetsåtgärder.</w:t>
      </w:r>
    </w:p>
    <w:p w:rsidR="00F11921" w:rsidRPr="001E3568" w:rsidRDefault="00F11921" w:rsidP="00F11921">
      <w:pPr>
        <w:spacing w:after="0"/>
        <w:jc w:val="both"/>
        <w:rPr>
          <w:rFonts w:cs="Times New Roman"/>
          <w:sz w:val="24"/>
          <w:szCs w:val="24"/>
          <w:u w:val="single"/>
          <w:lang w:val="sv-SE"/>
        </w:rPr>
      </w:pPr>
    </w:p>
    <w:p w:rsidR="00F11921" w:rsidRPr="001E3568" w:rsidRDefault="00B52DBF" w:rsidP="00B52DBF">
      <w:pPr>
        <w:spacing w:after="0" w:line="280" w:lineRule="auto"/>
        <w:jc w:val="both"/>
        <w:rPr>
          <w:rFonts w:cs="Times New Roman"/>
          <w:sz w:val="24"/>
          <w:szCs w:val="24"/>
          <w:lang w:val="sv-SE"/>
        </w:rPr>
      </w:pPr>
      <w:r w:rsidRPr="001E3568">
        <w:rPr>
          <w:rFonts w:cs="Times New Roman"/>
          <w:sz w:val="24"/>
          <w:szCs w:val="24"/>
          <w:lang w:val="sv-SE"/>
        </w:rPr>
        <w:t>Ikraftträdande</w:t>
      </w:r>
    </w:p>
    <w:p w:rsidR="00F11921" w:rsidRPr="001E3568" w:rsidRDefault="00F11921" w:rsidP="00F11921">
      <w:pPr>
        <w:spacing w:after="0"/>
        <w:jc w:val="both"/>
        <w:rPr>
          <w:rFonts w:cs="Times New Roman"/>
          <w:sz w:val="24"/>
          <w:szCs w:val="24"/>
          <w:u w:val="single"/>
          <w:lang w:val="sv-SE"/>
        </w:rPr>
      </w:pPr>
    </w:p>
    <w:p w:rsidR="00F11921" w:rsidRPr="001E3568" w:rsidRDefault="00B52DBF" w:rsidP="00B52DBF">
      <w:pPr>
        <w:spacing w:after="0" w:line="280" w:lineRule="auto"/>
        <w:jc w:val="both"/>
        <w:rPr>
          <w:rFonts w:cs="Times New Roman"/>
          <w:sz w:val="24"/>
          <w:szCs w:val="24"/>
          <w:lang w:val="sv-SE"/>
        </w:rPr>
      </w:pPr>
      <w:r w:rsidRPr="001E3568">
        <w:rPr>
          <w:rFonts w:cs="Times New Roman"/>
          <w:sz w:val="24"/>
          <w:szCs w:val="24"/>
          <w:lang w:val="sv-SE"/>
        </w:rPr>
        <w:t>Denna lag träder i kraft den 1 januari 2019.</w:t>
      </w:r>
      <w:r w:rsidR="00F11921" w:rsidRPr="001E3568">
        <w:rPr>
          <w:rFonts w:cs="Times New Roman"/>
          <w:sz w:val="24"/>
          <w:szCs w:val="24"/>
          <w:lang w:val="sv-SE"/>
        </w:rPr>
        <w:t xml:space="preserve"> </w:t>
      </w:r>
      <w:r w:rsidRPr="001E3568">
        <w:rPr>
          <w:rFonts w:cs="Times New Roman"/>
          <w:sz w:val="24"/>
          <w:szCs w:val="24"/>
          <w:lang w:val="sv-SE"/>
        </w:rPr>
        <w:t>På företagsförvärv som har verkställts före denna lags ikraftträdande tillämpas de bestämmelser som gällde vid ikraftträdandet.</w:t>
      </w:r>
    </w:p>
    <w:p w:rsidR="00F11921" w:rsidRPr="001E3568" w:rsidRDefault="00F11921" w:rsidP="00F11921">
      <w:pPr>
        <w:jc w:val="both"/>
        <w:rPr>
          <w:rFonts w:cs="Times New Roman"/>
          <w:sz w:val="24"/>
          <w:szCs w:val="24"/>
          <w:lang w:val="sv-SE"/>
        </w:rPr>
      </w:pPr>
    </w:p>
    <w:p w:rsidR="00C921D8" w:rsidRPr="001E3568" w:rsidRDefault="00C921D8">
      <w:pPr>
        <w:rPr>
          <w:lang w:val="sv-SE"/>
        </w:rPr>
      </w:pPr>
    </w:p>
    <w:sectPr w:rsidR="00C921D8" w:rsidRPr="001E3568" w:rsidSect="00271B75">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0B0" w:rsidRDefault="007B30B0">
      <w:pPr>
        <w:spacing w:after="0" w:line="240" w:lineRule="auto"/>
      </w:pPr>
      <w:r>
        <w:separator/>
      </w:r>
    </w:p>
  </w:endnote>
  <w:endnote w:type="continuationSeparator" w:id="0">
    <w:p w:rsidR="007B30B0" w:rsidRDefault="007B3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052642"/>
      <w:docPartObj>
        <w:docPartGallery w:val="Page Numbers (Bottom of Page)"/>
        <w:docPartUnique/>
      </w:docPartObj>
    </w:sdtPr>
    <w:sdtEndPr/>
    <w:sdtContent>
      <w:p w:rsidR="00271B75" w:rsidRDefault="00271B75">
        <w:pPr>
          <w:pStyle w:val="Alatunniste"/>
          <w:jc w:val="right"/>
        </w:pPr>
        <w:r>
          <w:fldChar w:fldCharType="begin"/>
        </w:r>
        <w:r>
          <w:instrText>PAGE   \* MERGEFORMAT</w:instrText>
        </w:r>
        <w:r>
          <w:fldChar w:fldCharType="separate"/>
        </w:r>
        <w:r w:rsidR="00976E71">
          <w:rPr>
            <w:noProof/>
          </w:rPr>
          <w:t>1</w:t>
        </w:r>
        <w:r>
          <w:fldChar w:fldCharType="end"/>
        </w:r>
      </w:p>
    </w:sdtContent>
  </w:sdt>
  <w:p w:rsidR="00271B75" w:rsidRDefault="00271B7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0B0" w:rsidRDefault="007B30B0">
      <w:pPr>
        <w:spacing w:after="0" w:line="240" w:lineRule="auto"/>
      </w:pPr>
      <w:r>
        <w:separator/>
      </w:r>
    </w:p>
  </w:footnote>
  <w:footnote w:type="continuationSeparator" w:id="0">
    <w:p w:rsidR="007B30B0" w:rsidRDefault="007B3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75" w:rsidRPr="00454420" w:rsidRDefault="00271B75">
    <w:pPr>
      <w:pStyle w:val="Yltunniste"/>
      <w:rPr>
        <w:color w:val="FF0000"/>
      </w:rPr>
    </w:pPr>
    <w:r>
      <w:rPr>
        <w:color w:val="FF0000"/>
      </w:rPr>
      <w:t>UTKAST</w:t>
    </w:r>
    <w:r>
      <w:rPr>
        <w:color w:val="FF0000"/>
      </w:rPr>
      <w:tab/>
      <w:t xml:space="preserve"> </w:t>
    </w:r>
    <w:r>
      <w:rPr>
        <w:color w:val="FF0000"/>
      </w:rPr>
      <w:tab/>
    </w:r>
    <w:r w:rsidR="00F47663">
      <w:t>27</w:t>
    </w:r>
    <w:r w:rsidRPr="005616C9">
      <w:t>.6.2017</w:t>
    </w:r>
  </w:p>
  <w:p w:rsidR="00271B75" w:rsidRDefault="00271B75">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2AA6"/>
    <w:multiLevelType w:val="hybridMultilevel"/>
    <w:tmpl w:val="2E9A115E"/>
    <w:lvl w:ilvl="0" w:tplc="78AE3CD6">
      <w:start w:val="3"/>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2EA415B0"/>
    <w:multiLevelType w:val="hybridMultilevel"/>
    <w:tmpl w:val="477CE20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13692F"/>
    <w:rsid w:val="0003527D"/>
    <w:rsid w:val="00056857"/>
    <w:rsid w:val="000D4141"/>
    <w:rsid w:val="0013692F"/>
    <w:rsid w:val="001632D4"/>
    <w:rsid w:val="00167883"/>
    <w:rsid w:val="001E3568"/>
    <w:rsid w:val="00271B75"/>
    <w:rsid w:val="002E0D94"/>
    <w:rsid w:val="003F5C92"/>
    <w:rsid w:val="003F79AF"/>
    <w:rsid w:val="004812C5"/>
    <w:rsid w:val="00482FBD"/>
    <w:rsid w:val="004C141F"/>
    <w:rsid w:val="00543BE6"/>
    <w:rsid w:val="005D7518"/>
    <w:rsid w:val="00630728"/>
    <w:rsid w:val="00643C99"/>
    <w:rsid w:val="006977CA"/>
    <w:rsid w:val="0072385E"/>
    <w:rsid w:val="007903BD"/>
    <w:rsid w:val="007B30B0"/>
    <w:rsid w:val="007F0943"/>
    <w:rsid w:val="007F4F84"/>
    <w:rsid w:val="00890174"/>
    <w:rsid w:val="008D0A37"/>
    <w:rsid w:val="00933ACA"/>
    <w:rsid w:val="00976E71"/>
    <w:rsid w:val="00A24799"/>
    <w:rsid w:val="00A97CA7"/>
    <w:rsid w:val="00AE3622"/>
    <w:rsid w:val="00AF23E3"/>
    <w:rsid w:val="00B50829"/>
    <w:rsid w:val="00B52DBF"/>
    <w:rsid w:val="00BF5966"/>
    <w:rsid w:val="00C921D8"/>
    <w:rsid w:val="00CA3A79"/>
    <w:rsid w:val="00E00EF4"/>
    <w:rsid w:val="00E33672"/>
    <w:rsid w:val="00ED1085"/>
    <w:rsid w:val="00F11921"/>
    <w:rsid w:val="00F273D4"/>
    <w:rsid w:val="00F33A67"/>
    <w:rsid w:val="00F47663"/>
    <w:rsid w:val="00FF3B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3692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3692F"/>
  </w:style>
  <w:style w:type="paragraph" w:styleId="Alatunniste">
    <w:name w:val="footer"/>
    <w:basedOn w:val="Normaali"/>
    <w:link w:val="AlatunnisteChar"/>
    <w:uiPriority w:val="99"/>
    <w:unhideWhenUsed/>
    <w:rsid w:val="0013692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3692F"/>
  </w:style>
  <w:style w:type="paragraph" w:styleId="Luettelokappale">
    <w:name w:val="List Paragraph"/>
    <w:basedOn w:val="Normaali"/>
    <w:uiPriority w:val="34"/>
    <w:qFormat/>
    <w:rsid w:val="0013692F"/>
    <w:pPr>
      <w:ind w:left="720"/>
      <w:contextualSpacing/>
    </w:pPr>
  </w:style>
  <w:style w:type="character" w:styleId="Kommentinviite">
    <w:name w:val="annotation reference"/>
    <w:basedOn w:val="Kappaleenoletusfontti"/>
    <w:uiPriority w:val="99"/>
    <w:semiHidden/>
    <w:unhideWhenUsed/>
    <w:rsid w:val="008D0A37"/>
    <w:rPr>
      <w:sz w:val="16"/>
      <w:szCs w:val="16"/>
    </w:rPr>
  </w:style>
  <w:style w:type="paragraph" w:styleId="Kommentinteksti">
    <w:name w:val="annotation text"/>
    <w:basedOn w:val="Normaali"/>
    <w:link w:val="KommentintekstiChar"/>
    <w:uiPriority w:val="99"/>
    <w:semiHidden/>
    <w:unhideWhenUsed/>
    <w:rsid w:val="008D0A3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D0A37"/>
    <w:rPr>
      <w:sz w:val="20"/>
      <w:szCs w:val="20"/>
    </w:rPr>
  </w:style>
  <w:style w:type="paragraph" w:styleId="Kommentinotsikko">
    <w:name w:val="annotation subject"/>
    <w:basedOn w:val="Kommentinteksti"/>
    <w:next w:val="Kommentinteksti"/>
    <w:link w:val="KommentinotsikkoChar"/>
    <w:uiPriority w:val="99"/>
    <w:semiHidden/>
    <w:unhideWhenUsed/>
    <w:rsid w:val="008D0A37"/>
    <w:rPr>
      <w:b/>
      <w:bCs/>
    </w:rPr>
  </w:style>
  <w:style w:type="character" w:customStyle="1" w:styleId="KommentinotsikkoChar">
    <w:name w:val="Kommentin otsikko Char"/>
    <w:basedOn w:val="KommentintekstiChar"/>
    <w:link w:val="Kommentinotsikko"/>
    <w:uiPriority w:val="99"/>
    <w:semiHidden/>
    <w:rsid w:val="008D0A37"/>
    <w:rPr>
      <w:b/>
      <w:bCs/>
      <w:sz w:val="20"/>
      <w:szCs w:val="20"/>
    </w:rPr>
  </w:style>
  <w:style w:type="paragraph" w:styleId="Seliteteksti">
    <w:name w:val="Balloon Text"/>
    <w:basedOn w:val="Normaali"/>
    <w:link w:val="SelitetekstiChar"/>
    <w:uiPriority w:val="99"/>
    <w:semiHidden/>
    <w:unhideWhenUsed/>
    <w:rsid w:val="008D0A3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D0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3692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3692F"/>
  </w:style>
  <w:style w:type="paragraph" w:styleId="Alatunniste">
    <w:name w:val="footer"/>
    <w:basedOn w:val="Normaali"/>
    <w:link w:val="AlatunnisteChar"/>
    <w:uiPriority w:val="99"/>
    <w:unhideWhenUsed/>
    <w:rsid w:val="0013692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3692F"/>
  </w:style>
  <w:style w:type="paragraph" w:styleId="Luettelokappale">
    <w:name w:val="List Paragraph"/>
    <w:basedOn w:val="Normaali"/>
    <w:uiPriority w:val="34"/>
    <w:qFormat/>
    <w:rsid w:val="0013692F"/>
    <w:pPr>
      <w:ind w:left="720"/>
      <w:contextualSpacing/>
    </w:pPr>
  </w:style>
  <w:style w:type="character" w:styleId="Kommentinviite">
    <w:name w:val="annotation reference"/>
    <w:basedOn w:val="Kappaleenoletusfontti"/>
    <w:uiPriority w:val="99"/>
    <w:semiHidden/>
    <w:unhideWhenUsed/>
    <w:rsid w:val="008D0A37"/>
    <w:rPr>
      <w:sz w:val="16"/>
      <w:szCs w:val="16"/>
    </w:rPr>
  </w:style>
  <w:style w:type="paragraph" w:styleId="Kommentinteksti">
    <w:name w:val="annotation text"/>
    <w:basedOn w:val="Normaali"/>
    <w:link w:val="KommentintekstiChar"/>
    <w:uiPriority w:val="99"/>
    <w:semiHidden/>
    <w:unhideWhenUsed/>
    <w:rsid w:val="008D0A3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D0A37"/>
    <w:rPr>
      <w:sz w:val="20"/>
      <w:szCs w:val="20"/>
    </w:rPr>
  </w:style>
  <w:style w:type="paragraph" w:styleId="Kommentinotsikko">
    <w:name w:val="annotation subject"/>
    <w:basedOn w:val="Kommentinteksti"/>
    <w:next w:val="Kommentinteksti"/>
    <w:link w:val="KommentinotsikkoChar"/>
    <w:uiPriority w:val="99"/>
    <w:semiHidden/>
    <w:unhideWhenUsed/>
    <w:rsid w:val="008D0A37"/>
    <w:rPr>
      <w:b/>
      <w:bCs/>
    </w:rPr>
  </w:style>
  <w:style w:type="character" w:customStyle="1" w:styleId="KommentinotsikkoChar">
    <w:name w:val="Kommentin otsikko Char"/>
    <w:basedOn w:val="KommentintekstiChar"/>
    <w:link w:val="Kommentinotsikko"/>
    <w:uiPriority w:val="99"/>
    <w:semiHidden/>
    <w:rsid w:val="008D0A37"/>
    <w:rPr>
      <w:b/>
      <w:bCs/>
      <w:sz w:val="20"/>
      <w:szCs w:val="20"/>
    </w:rPr>
  </w:style>
  <w:style w:type="paragraph" w:styleId="Seliteteksti">
    <w:name w:val="Balloon Text"/>
    <w:basedOn w:val="Normaali"/>
    <w:link w:val="SelitetekstiChar"/>
    <w:uiPriority w:val="99"/>
    <w:semiHidden/>
    <w:unhideWhenUsed/>
    <w:rsid w:val="008D0A3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D0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2037</Words>
  <Characters>16503</Characters>
  <Application>Microsoft Office Word</Application>
  <DocSecurity>0</DocSecurity>
  <Lines>137</Lines>
  <Paragraphs>37</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Haapajärvi Virve TEM</dc:creator>
  <cp:lastModifiedBy>Lahtinen Päivi TEM</cp:lastModifiedBy>
  <cp:revision>2</cp:revision>
  <cp:lastPrinted>2017-06-26T12:35:00Z</cp:lastPrinted>
  <dcterms:created xsi:type="dcterms:W3CDTF">2017-06-30T07:26:00Z</dcterms:created>
  <dcterms:modified xsi:type="dcterms:W3CDTF">2017-06-30T07:26:00Z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