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9" w:type="dxa"/>
        <w:tblLook w:val="01E0" w:firstRow="1" w:lastRow="1" w:firstColumn="1" w:lastColumn="1" w:noHBand="0" w:noVBand="0"/>
      </w:tblPr>
      <w:tblGrid>
        <w:gridCol w:w="5142"/>
        <w:gridCol w:w="2609"/>
        <w:gridCol w:w="1274"/>
        <w:gridCol w:w="1414"/>
      </w:tblGrid>
      <w:tr w:rsidR="00BB30CA" w:rsidRPr="006722A3" w:rsidTr="00887F02">
        <w:trPr>
          <w:cantSplit/>
          <w:trHeight w:hRule="exact" w:val="284"/>
        </w:trPr>
        <w:tc>
          <w:tcPr>
            <w:tcW w:w="5142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6722A3" w:rsidRDefault="00BB30CA" w:rsidP="00A47CA2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6722A3" w:rsidRDefault="00BB30CA" w:rsidP="00A47CA2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tcMar>
              <w:top w:w="28" w:type="dxa"/>
              <w:bottom w:w="28" w:type="dxa"/>
            </w:tcMar>
          </w:tcPr>
          <w:p w:rsidR="00BB30CA" w:rsidRPr="006722A3" w:rsidRDefault="00BB30CA" w:rsidP="00A47CA2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6722A3" w:rsidRDefault="00BB30CA" w:rsidP="00A47CA2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B30CA" w:rsidRPr="006722A3" w:rsidTr="006B0EC9">
        <w:trPr>
          <w:cantSplit/>
          <w:trHeight w:hRule="exact" w:val="619"/>
        </w:trPr>
        <w:tc>
          <w:tcPr>
            <w:tcW w:w="5142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6722A3" w:rsidRDefault="00BB30CA" w:rsidP="00A47CA2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auto"/>
            <w:tcMar>
              <w:top w:w="0" w:type="dxa"/>
              <w:bottom w:w="0" w:type="dxa"/>
            </w:tcMar>
          </w:tcPr>
          <w:p w:rsidR="00630CD1" w:rsidRPr="00516252" w:rsidRDefault="00630CD1" w:rsidP="00A47CA2">
            <w:pPr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688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630CD1" w:rsidRDefault="00630CD1" w:rsidP="00A47CA2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Bilaga 1</w:t>
            </w:r>
          </w:p>
          <w:p w:rsidR="00BB30CA" w:rsidRPr="006722A3" w:rsidRDefault="00BB30CA" w:rsidP="00A47CA2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C51C2" w:rsidRPr="006722A3" w:rsidTr="002A7EED">
        <w:trPr>
          <w:cantSplit/>
          <w:trHeight w:hRule="exact" w:val="712"/>
        </w:trPr>
        <w:tc>
          <w:tcPr>
            <w:tcW w:w="5142" w:type="dxa"/>
            <w:shd w:val="clear" w:color="auto" w:fill="auto"/>
            <w:tcMar>
              <w:top w:w="0" w:type="dxa"/>
              <w:bottom w:w="0" w:type="dxa"/>
            </w:tcMar>
          </w:tcPr>
          <w:p w:rsidR="006B0EC9" w:rsidRPr="006722A3" w:rsidRDefault="006B0EC9" w:rsidP="00A47CA2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6722A3" w:rsidRDefault="007C51C2" w:rsidP="00A47CA2">
            <w:pPr>
              <w:jc w:val="both"/>
              <w:rPr>
                <w:rStyle w:val="akppaivays"/>
                <w:rFonts w:cs="Arial"/>
                <w:sz w:val="22"/>
                <w:szCs w:val="22"/>
              </w:rPr>
            </w:pPr>
          </w:p>
        </w:tc>
        <w:tc>
          <w:tcPr>
            <w:tcW w:w="2688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Pr="006722A3" w:rsidRDefault="007C51C2" w:rsidP="00A47CA2">
            <w:pPr>
              <w:jc w:val="both"/>
              <w:rPr>
                <w:rStyle w:val="akptunniste"/>
                <w:rFonts w:cs="Arial"/>
                <w:sz w:val="22"/>
                <w:szCs w:val="22"/>
              </w:rPr>
            </w:pPr>
          </w:p>
        </w:tc>
      </w:tr>
    </w:tbl>
    <w:p w:rsidR="00065645" w:rsidRPr="006722A3" w:rsidRDefault="00065645" w:rsidP="00A47CA2">
      <w:pPr>
        <w:autoSpaceDE w:val="0"/>
        <w:autoSpaceDN w:val="0"/>
        <w:jc w:val="both"/>
        <w:rPr>
          <w:rFonts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</w:p>
    <w:p w:rsidR="0072086B" w:rsidRPr="00447714" w:rsidRDefault="00B33818" w:rsidP="00A47CA2">
      <w:pPr>
        <w:pStyle w:val="VNKNormaaliSisentmtn"/>
        <w:spacing w:after="360"/>
        <w:jc w:val="both"/>
        <w:rPr>
          <w:rFonts w:ascii="Arial" w:hAnsi="Arial" w:cs="Arial"/>
          <w:b/>
          <w:szCs w:val="22"/>
        </w:rPr>
      </w:pPr>
      <w:r>
        <w:t>Kommunala sysselsättningsförsök våren 2020 – villkor för försöken</w:t>
      </w:r>
    </w:p>
    <w:p w:rsidR="00A8595E" w:rsidRDefault="00A8595E" w:rsidP="00A47CA2">
      <w:pPr>
        <w:spacing w:after="200"/>
        <w:ind w:left="2608" w:right="-285"/>
        <w:jc w:val="both"/>
      </w:pPr>
      <w:r>
        <w:t xml:space="preserve">Enligt regeringsprogrammet för statsminister Antti Rinnes regering ska kommunernas roll som anordnare av sysselsättningstjänster stärkas. </w:t>
      </w:r>
    </w:p>
    <w:p w:rsidR="00893371" w:rsidRDefault="00427AE3" w:rsidP="00A47CA2">
      <w:pPr>
        <w:spacing w:after="200"/>
        <w:ind w:left="2608" w:right="-285"/>
        <w:jc w:val="both"/>
      </w:pPr>
      <w:r>
        <w:t>Stärkandet av kommunernas roll ska genomföras i etapper enligt följande:</w:t>
      </w:r>
    </w:p>
    <w:p w:rsidR="00A8595E" w:rsidRDefault="001418A5" w:rsidP="00A47CA2">
      <w:pPr>
        <w:spacing w:after="200"/>
        <w:ind w:left="2968" w:right="-285"/>
        <w:jc w:val="both"/>
      </w:pPr>
      <w:r>
        <w:t>I utgångsläget utnyttjas befintliga och planerade avtals</w:t>
      </w:r>
      <w:r w:rsidR="00A47CA2">
        <w:t>baserade samarbetsmodeller och</w:t>
      </w:r>
      <w:r>
        <w:t xml:space="preserve"> andra samarbetsmodeller mellan staten och kommunerna. </w:t>
      </w:r>
    </w:p>
    <w:p w:rsidR="00915EBC" w:rsidRDefault="00893371" w:rsidP="00A47CA2">
      <w:pPr>
        <w:spacing w:after="200"/>
        <w:ind w:left="2968" w:right="-285"/>
        <w:jc w:val="both"/>
      </w:pPr>
      <w:r>
        <w:t xml:space="preserve">Under våren 2020 inleds kommunala sysselsättningsförsök, </w:t>
      </w:r>
      <w:r w:rsidR="006B2017">
        <w:t>där man fortsätter med</w:t>
      </w:r>
      <w:r>
        <w:t xml:space="preserve"> och breddar den verksamhetsmodell (med undantag för arbetslivsprövning) som användes i de regionala sysselsättningsförsök som avsl</w:t>
      </w:r>
      <w:r w:rsidR="006B2017">
        <w:t>utades i slutet av 2018. Det</w:t>
      </w:r>
      <w:r>
        <w:t xml:space="preserve"> </w:t>
      </w:r>
      <w:r w:rsidR="006B2017">
        <w:t>stiftas</w:t>
      </w:r>
      <w:r>
        <w:t xml:space="preserve"> en särskild lag om försöken. </w:t>
      </w:r>
    </w:p>
    <w:p w:rsidR="00915EBC" w:rsidRDefault="00915EBC" w:rsidP="00A47CA2">
      <w:pPr>
        <w:spacing w:after="200"/>
        <w:ind w:left="2968" w:right="-285"/>
        <w:jc w:val="both"/>
      </w:pPr>
      <w:r>
        <w:t xml:space="preserve">I fortsättningen utvidgas kommunernas organiseringsansvar </w:t>
      </w:r>
      <w:r w:rsidR="00665DC6">
        <w:t>ytterligare</w:t>
      </w:r>
      <w:r>
        <w:t xml:space="preserve">. Då beaktas särskilda behov på städernas och kommunernas arbetsmarknader (t.ex. nya målgrupper, förfaranden för tjänsteupphandling, starkare beslutanderätt i fråga om resursanvändningen).  Regeringen fastställer riktlinjer för en permanent servicestruktur i arbetskraftspolitiken under regeringsperioden. </w:t>
      </w:r>
    </w:p>
    <w:p w:rsidR="00546524" w:rsidRPr="00F946CB" w:rsidRDefault="00E63261" w:rsidP="00A47CA2">
      <w:pPr>
        <w:autoSpaceDE w:val="0"/>
        <w:autoSpaceDN w:val="0"/>
        <w:adjustRightInd w:val="0"/>
        <w:spacing w:after="200"/>
        <w:ind w:left="2608"/>
        <w:jc w:val="both"/>
        <w:rPr>
          <w:rFonts w:cs="Arial"/>
          <w:color w:val="FF0000"/>
          <w:szCs w:val="21"/>
        </w:rPr>
      </w:pPr>
      <w:r>
        <w:rPr>
          <w:color w:val="000000"/>
        </w:rPr>
        <w:t xml:space="preserve">Tidsplanen för beredningen av de kommunala sysselsättningsförsök som inleds våren 2020 förutsätter att man vid beredningen som grund utnyttjar </w:t>
      </w:r>
      <w:r w:rsidR="0090234F">
        <w:rPr>
          <w:color w:val="000000"/>
        </w:rPr>
        <w:t xml:space="preserve">den lagstiftning som gällde </w:t>
      </w:r>
      <w:r>
        <w:rPr>
          <w:color w:val="000000"/>
        </w:rPr>
        <w:t xml:space="preserve">de regionala sysselsättningsförsök som avslutades i slutet av 2018. Sysselsättningsförsöken </w:t>
      </w:r>
      <w:r w:rsidR="00F828C4">
        <w:rPr>
          <w:color w:val="000000"/>
        </w:rPr>
        <w:t>ska pågå</w:t>
      </w:r>
      <w:r>
        <w:rPr>
          <w:color w:val="000000"/>
        </w:rPr>
        <w:t xml:space="preserve"> i cirka 2,5 år. </w:t>
      </w:r>
    </w:p>
    <w:p w:rsidR="00957278" w:rsidRDefault="00960BF9" w:rsidP="00A47CA2">
      <w:pPr>
        <w:autoSpaceDE w:val="0"/>
        <w:autoSpaceDN w:val="0"/>
        <w:adjustRightInd w:val="0"/>
        <w:spacing w:after="200"/>
        <w:ind w:left="2608"/>
        <w:jc w:val="both"/>
        <w:rPr>
          <w:rFonts w:cs="Arial"/>
          <w:color w:val="000000"/>
          <w:szCs w:val="21"/>
        </w:rPr>
      </w:pPr>
      <w:r>
        <w:rPr>
          <w:color w:val="000000"/>
        </w:rPr>
        <w:t xml:space="preserve">Försökens verksamhetsmodell och beredningen av regeringens proposition behandlas i ministerarbetsgruppen för främjande av sysselsättningen </w:t>
      </w:r>
      <w:r>
        <w:rPr>
          <w:color w:val="000000"/>
        </w:rPr>
        <w:lastRenderedPageBreak/>
        <w:t xml:space="preserve">och den underarbetsgrupp som </w:t>
      </w:r>
      <w:r w:rsidR="00AD207D">
        <w:rPr>
          <w:color w:val="000000"/>
        </w:rPr>
        <w:t>har hand om</w:t>
      </w:r>
      <w:r>
        <w:rPr>
          <w:color w:val="000000"/>
        </w:rPr>
        <w:t xml:space="preserve"> arbetskraftspolitikens servicestruktur. </w:t>
      </w:r>
    </w:p>
    <w:p w:rsidR="00C31CFF" w:rsidRPr="00C31CFF" w:rsidRDefault="0040406B" w:rsidP="00A47CA2">
      <w:pPr>
        <w:spacing w:before="480" w:after="200"/>
        <w:ind w:right="-284"/>
        <w:jc w:val="both"/>
        <w:rPr>
          <w:b/>
        </w:rPr>
      </w:pPr>
      <w:r>
        <w:rPr>
          <w:b/>
        </w:rPr>
        <w:t>De kommunala sysselsättningsförsök som inleds våren 2020 genomförs i enlighet med följande kriterier och beskrivningar</w:t>
      </w:r>
    </w:p>
    <w:p w:rsidR="00267478" w:rsidRDefault="00FE3BF7" w:rsidP="00A47CA2">
      <w:pPr>
        <w:pStyle w:val="LLPerustelujenkappalejako"/>
        <w:spacing w:before="360" w:after="200" w:line="240" w:lineRule="auto"/>
        <w:ind w:left="2608" w:hanging="2608"/>
        <w:rPr>
          <w:rFonts w:ascii="Arial" w:hAnsi="Arial" w:cs="Arial"/>
          <w:sz w:val="21"/>
          <w:szCs w:val="21"/>
        </w:rPr>
      </w:pPr>
      <w:r w:rsidRPr="00B20C09">
        <w:rPr>
          <w:rFonts w:ascii="Arial" w:hAnsi="Arial" w:cs="Arial"/>
          <w:b/>
          <w:sz w:val="21"/>
          <w:szCs w:val="21"/>
        </w:rPr>
        <w:t>Mål</w:t>
      </w:r>
      <w:r w:rsidR="00821D7D">
        <w:tab/>
      </w:r>
      <w:r w:rsidR="00B20C09" w:rsidRPr="00B20C09">
        <w:rPr>
          <w:rFonts w:ascii="Arial" w:hAnsi="Arial" w:cs="Arial"/>
          <w:sz w:val="21"/>
          <w:szCs w:val="21"/>
        </w:rPr>
        <w:t>Målet med f</w:t>
      </w:r>
      <w:r w:rsidRPr="00B20C09">
        <w:rPr>
          <w:rFonts w:ascii="Arial" w:hAnsi="Arial" w:cs="Arial"/>
          <w:sz w:val="21"/>
          <w:szCs w:val="21"/>
        </w:rPr>
        <w:t>örsöken</w:t>
      </w:r>
      <w:r w:rsidRPr="00821D7D">
        <w:rPr>
          <w:rFonts w:ascii="Arial" w:hAnsi="Arial" w:cs="Arial"/>
          <w:sz w:val="21"/>
          <w:szCs w:val="21"/>
        </w:rPr>
        <w:t xml:space="preserve"> </w:t>
      </w:r>
      <w:r w:rsidR="00B20C09">
        <w:rPr>
          <w:rFonts w:ascii="Arial" w:hAnsi="Arial" w:cs="Arial"/>
          <w:sz w:val="21"/>
          <w:szCs w:val="21"/>
        </w:rPr>
        <w:t>är</w:t>
      </w:r>
      <w:r w:rsidRPr="00821D7D">
        <w:rPr>
          <w:rFonts w:ascii="Arial" w:hAnsi="Arial" w:cs="Arial"/>
          <w:sz w:val="21"/>
          <w:szCs w:val="21"/>
        </w:rPr>
        <w:t xml:space="preserve"> att på ett effektivare sätt än i nuläget främja att arbetslösa arbetssökande kommer i</w:t>
      </w:r>
      <w:r w:rsidR="00B20C09">
        <w:rPr>
          <w:rFonts w:ascii="Arial" w:hAnsi="Arial" w:cs="Arial"/>
          <w:sz w:val="21"/>
          <w:szCs w:val="21"/>
        </w:rPr>
        <w:t>n i arbete eller utbildning och</w:t>
      </w:r>
      <w:r w:rsidRPr="00821D7D">
        <w:rPr>
          <w:rFonts w:ascii="Arial" w:hAnsi="Arial" w:cs="Arial"/>
          <w:sz w:val="21"/>
          <w:szCs w:val="21"/>
        </w:rPr>
        <w:t xml:space="preserve"> att få fram nya lösningar för att säkerställa tillgången till kompetent arbetskraft.</w:t>
      </w:r>
      <w:r>
        <w:rPr>
          <w:rFonts w:ascii="Arial" w:hAnsi="Arial"/>
          <w:sz w:val="21"/>
        </w:rPr>
        <w:t xml:space="preserve"> Syftet med försöken är att förbättra möjligheterna särskilt för personer som varit arbetslösa en längre tid eller med en svag ställning på arbetsmarknaden att komma in på arbetsmarknaden. </w:t>
      </w:r>
    </w:p>
    <w:p w:rsidR="00FE3BF7" w:rsidRDefault="00CD78B3" w:rsidP="00A47CA2">
      <w:pPr>
        <w:pStyle w:val="LLPerustelujenkappalejako"/>
        <w:spacing w:after="200" w:line="240" w:lineRule="auto"/>
        <w:ind w:left="2608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</w:rPr>
        <w:t xml:space="preserve">I försöken utvecklas sådana sysselsättningsfrämjande tjänster och servicemodeller för arbetssökande som gör att man bättre än i nuläget kan identifiera och lösa kundernas individuella servicebehov, hinder för sysselsättning samt kompetensutvecklingsbehov. I försöken effektiviseras servicehandledningen och tillgången till tjänster (inklusive sektorsövergripande tjänster) </w:t>
      </w:r>
    </w:p>
    <w:p w:rsidR="00EB6535" w:rsidRPr="00924F89" w:rsidRDefault="00307F4C" w:rsidP="00A47CA2">
      <w:pPr>
        <w:pStyle w:val="Luettelokappale"/>
        <w:spacing w:before="360" w:after="200"/>
        <w:ind w:left="2608" w:hanging="2608"/>
        <w:contextualSpacing w:val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/>
          <w:b/>
          <w:sz w:val="21"/>
        </w:rPr>
        <w:t xml:space="preserve">Uppföljning och utvärdering </w:t>
      </w:r>
    </w:p>
    <w:p w:rsidR="006506CB" w:rsidRDefault="008137A2" w:rsidP="00A47CA2">
      <w:pPr>
        <w:spacing w:after="200"/>
        <w:ind w:left="2608"/>
        <w:jc w:val="both"/>
        <w:rPr>
          <w:rFonts w:cs="Arial"/>
          <w:szCs w:val="21"/>
        </w:rPr>
      </w:pPr>
      <w:r>
        <w:t>Försöken följs upp med hjälp av kontinuerlig statistisk uppföljning och en separat forskningsbaserad utvärdering av effekterna. Arbets- och näringsministeriet bereder i samarbete med kommuner</w:t>
      </w:r>
      <w:r w:rsidR="0060768A">
        <w:t>na</w:t>
      </w:r>
      <w:r>
        <w:t xml:space="preserve"> och andra intressentgrupper riksomfattande uppföljningsindikatorer för försöken. För försöksområdena tas det månatligen fram uppföljningsinformation om hur försöket framskrider. För försöken utarbetas en gemensam utvärderingsplan. </w:t>
      </w:r>
    </w:p>
    <w:p w:rsidR="00800AB5" w:rsidRDefault="00976FE0" w:rsidP="00A47CA2">
      <w:pPr>
        <w:spacing w:after="200"/>
        <w:ind w:left="2608"/>
        <w:jc w:val="both"/>
        <w:rPr>
          <w:rFonts w:cs="Arial"/>
          <w:szCs w:val="21"/>
        </w:rPr>
      </w:pPr>
      <w:r>
        <w:t xml:space="preserve">Uppföljningsobjekt: </w:t>
      </w:r>
    </w:p>
    <w:p w:rsidR="00CE504E" w:rsidRPr="00EC5090" w:rsidRDefault="00CE504E" w:rsidP="00A47CA2">
      <w:pPr>
        <w:numPr>
          <w:ilvl w:val="0"/>
          <w:numId w:val="9"/>
        </w:numPr>
        <w:tabs>
          <w:tab w:val="clear" w:pos="3912"/>
          <w:tab w:val="left" w:pos="4040"/>
        </w:tabs>
        <w:spacing w:after="120"/>
        <w:ind w:left="4043" w:hanging="357"/>
        <w:jc w:val="both"/>
        <w:rPr>
          <w:rFonts w:cs="Arial"/>
          <w:szCs w:val="21"/>
        </w:rPr>
      </w:pPr>
      <w:r>
        <w:t>sysselsättningsnivåns utveckling</w:t>
      </w:r>
    </w:p>
    <w:p w:rsidR="00CE504E" w:rsidRPr="00EC5090" w:rsidRDefault="00CE504E" w:rsidP="00A47CA2">
      <w:pPr>
        <w:numPr>
          <w:ilvl w:val="0"/>
          <w:numId w:val="9"/>
        </w:numPr>
        <w:tabs>
          <w:tab w:val="clear" w:pos="3912"/>
          <w:tab w:val="left" w:pos="4040"/>
        </w:tabs>
        <w:spacing w:after="120"/>
        <w:ind w:left="4043" w:hanging="357"/>
        <w:jc w:val="both"/>
        <w:rPr>
          <w:rFonts w:cs="Arial"/>
          <w:szCs w:val="21"/>
        </w:rPr>
      </w:pPr>
      <w:r>
        <w:t>besparingar i arbetsmarknadsstödet hos kommunerna och staten</w:t>
      </w:r>
    </w:p>
    <w:p w:rsidR="00680EA6" w:rsidRDefault="00800AB5" w:rsidP="00A47CA2">
      <w:pPr>
        <w:numPr>
          <w:ilvl w:val="0"/>
          <w:numId w:val="9"/>
        </w:numPr>
        <w:tabs>
          <w:tab w:val="clear" w:pos="3912"/>
          <w:tab w:val="left" w:pos="4040"/>
        </w:tabs>
        <w:spacing w:after="120"/>
        <w:ind w:left="4043" w:hanging="357"/>
        <w:jc w:val="both"/>
        <w:rPr>
          <w:rFonts w:cs="Arial"/>
          <w:szCs w:val="21"/>
        </w:rPr>
      </w:pPr>
      <w:r>
        <w:t xml:space="preserve">aktiveringsgrad och inledande av service </w:t>
      </w:r>
    </w:p>
    <w:p w:rsidR="00800AB5" w:rsidRPr="00680EA6" w:rsidRDefault="00800AB5" w:rsidP="00A47CA2">
      <w:pPr>
        <w:numPr>
          <w:ilvl w:val="0"/>
          <w:numId w:val="9"/>
        </w:numPr>
        <w:tabs>
          <w:tab w:val="clear" w:pos="3912"/>
          <w:tab w:val="left" w:pos="4040"/>
        </w:tabs>
        <w:spacing w:after="120"/>
        <w:ind w:left="4043" w:hanging="357"/>
        <w:jc w:val="both"/>
        <w:rPr>
          <w:rFonts w:cs="Arial"/>
          <w:szCs w:val="21"/>
        </w:rPr>
      </w:pPr>
      <w:r>
        <w:t>övergångar från arbetslöshet till arbete eller utbildning</w:t>
      </w:r>
    </w:p>
    <w:p w:rsidR="00EC5090" w:rsidRPr="00EC5090" w:rsidRDefault="00EC5090" w:rsidP="00A47CA2">
      <w:pPr>
        <w:numPr>
          <w:ilvl w:val="0"/>
          <w:numId w:val="9"/>
        </w:numPr>
        <w:tabs>
          <w:tab w:val="clear" w:pos="3912"/>
          <w:tab w:val="left" w:pos="4040"/>
        </w:tabs>
        <w:spacing w:after="120"/>
        <w:ind w:left="4043" w:hanging="357"/>
        <w:jc w:val="both"/>
        <w:rPr>
          <w:rFonts w:cs="Arial"/>
          <w:szCs w:val="21"/>
        </w:rPr>
      </w:pPr>
      <w:r>
        <w:t>arbetslöshetsperiodernas genomsnittliga längd</w:t>
      </w:r>
    </w:p>
    <w:p w:rsidR="00800AB5" w:rsidRPr="00EC5090" w:rsidRDefault="00800AB5" w:rsidP="00A47CA2">
      <w:pPr>
        <w:numPr>
          <w:ilvl w:val="0"/>
          <w:numId w:val="9"/>
        </w:numPr>
        <w:tabs>
          <w:tab w:val="clear" w:pos="3912"/>
          <w:tab w:val="left" w:pos="4040"/>
        </w:tabs>
        <w:spacing w:after="120"/>
        <w:ind w:left="4043" w:hanging="357"/>
        <w:jc w:val="both"/>
        <w:rPr>
          <w:rFonts w:cs="Arial"/>
          <w:szCs w:val="21"/>
        </w:rPr>
      </w:pPr>
      <w:r>
        <w:lastRenderedPageBreak/>
        <w:t>utvecklingen av antalet långtidsarbetslösa/strukturellt arbetslösa</w:t>
      </w:r>
    </w:p>
    <w:p w:rsidR="00800AB5" w:rsidRPr="00EC5090" w:rsidRDefault="00800AB5" w:rsidP="00A47CA2">
      <w:pPr>
        <w:numPr>
          <w:ilvl w:val="0"/>
          <w:numId w:val="9"/>
        </w:numPr>
        <w:tabs>
          <w:tab w:val="clear" w:pos="3912"/>
          <w:tab w:val="left" w:pos="4040"/>
        </w:tabs>
        <w:spacing w:after="120"/>
        <w:ind w:left="4043" w:hanging="357"/>
        <w:jc w:val="both"/>
        <w:rPr>
          <w:rFonts w:cs="Arial"/>
          <w:szCs w:val="21"/>
        </w:rPr>
      </w:pPr>
      <w:r>
        <w:t>antalet arbetserbjudanden och resultaten av dem</w:t>
      </w:r>
    </w:p>
    <w:p w:rsidR="00CE504E" w:rsidRPr="00EC5090" w:rsidRDefault="00CE504E" w:rsidP="00A47CA2">
      <w:pPr>
        <w:numPr>
          <w:ilvl w:val="0"/>
          <w:numId w:val="9"/>
        </w:numPr>
        <w:tabs>
          <w:tab w:val="clear" w:pos="3912"/>
          <w:tab w:val="left" w:pos="4040"/>
        </w:tabs>
        <w:spacing w:after="120"/>
        <w:ind w:left="4043" w:hanging="357"/>
        <w:jc w:val="both"/>
        <w:rPr>
          <w:rFonts w:cs="Arial"/>
          <w:szCs w:val="21"/>
        </w:rPr>
      </w:pPr>
      <w:r>
        <w:t xml:space="preserve">arbets- och funktionsförmågans utveckling </w:t>
      </w:r>
    </w:p>
    <w:p w:rsidR="00815A63" w:rsidRPr="00EC5090" w:rsidRDefault="00204894" w:rsidP="00A47CA2">
      <w:pPr>
        <w:numPr>
          <w:ilvl w:val="0"/>
          <w:numId w:val="9"/>
        </w:numPr>
        <w:tabs>
          <w:tab w:val="clear" w:pos="3912"/>
          <w:tab w:val="left" w:pos="4040"/>
        </w:tabs>
        <w:spacing w:after="120"/>
        <w:ind w:left="4043" w:hanging="357"/>
        <w:jc w:val="both"/>
        <w:rPr>
          <w:rFonts w:cs="Arial"/>
          <w:szCs w:val="21"/>
        </w:rPr>
      </w:pPr>
      <w:r>
        <w:t xml:space="preserve">kundnöjdhet </w:t>
      </w:r>
    </w:p>
    <w:p w:rsidR="00204894" w:rsidRPr="00EC5090" w:rsidRDefault="00204894" w:rsidP="00A47CA2">
      <w:pPr>
        <w:numPr>
          <w:ilvl w:val="0"/>
          <w:numId w:val="9"/>
        </w:numPr>
        <w:tabs>
          <w:tab w:val="clear" w:pos="3912"/>
          <w:tab w:val="left" w:pos="4040"/>
        </w:tabs>
        <w:spacing w:after="200"/>
        <w:jc w:val="both"/>
        <w:rPr>
          <w:rFonts w:cs="Arial"/>
          <w:szCs w:val="21"/>
        </w:rPr>
      </w:pPr>
      <w:r>
        <w:t xml:space="preserve">personalens välbefinnande i arbetet </w:t>
      </w:r>
    </w:p>
    <w:p w:rsidR="00C56D99" w:rsidRDefault="00957278" w:rsidP="00A47CA2">
      <w:pPr>
        <w:spacing w:before="360" w:after="200"/>
        <w:ind w:left="2608" w:hanging="2608"/>
        <w:jc w:val="both"/>
        <w:rPr>
          <w:rFonts w:cs="Arial"/>
          <w:b/>
          <w:szCs w:val="21"/>
        </w:rPr>
      </w:pPr>
      <w:r>
        <w:rPr>
          <w:b/>
        </w:rPr>
        <w:t>Målgrupp</w:t>
      </w:r>
    </w:p>
    <w:p w:rsidR="00C158A6" w:rsidRDefault="00284904" w:rsidP="00A47CA2">
      <w:pPr>
        <w:spacing w:after="200"/>
        <w:ind w:left="2608"/>
        <w:jc w:val="both"/>
        <w:rPr>
          <w:bCs/>
        </w:rPr>
      </w:pPr>
      <w:r>
        <w:t xml:space="preserve">Till försöken hänvisas inom försöksområdena arbetssökande som är arbetslösa eller deltar i arbetskraftsservice och som inte har rätt till inkomstrelaterad dagpenning. Dessutom ingår i målgruppen alla arbetssökande under 30 år och alla invandrare som är antingen arbetslösa eller deltar i arbetskraftsservice vid arbets- och näringsbyråerna inom projektområdena.  </w:t>
      </w:r>
    </w:p>
    <w:p w:rsidR="00011826" w:rsidRPr="00011826" w:rsidRDefault="00F8140E" w:rsidP="00A47CA2">
      <w:pPr>
        <w:pStyle w:val="LLPerustelujenkappalejako"/>
        <w:spacing w:after="200" w:line="240" w:lineRule="auto"/>
        <w:ind w:left="2608"/>
        <w:rPr>
          <w:rFonts w:ascii="Arial" w:hAnsi="Arial" w:cs="Arial"/>
          <w:i/>
          <w:color w:val="FF0000"/>
          <w:sz w:val="21"/>
          <w:szCs w:val="21"/>
        </w:rPr>
      </w:pPr>
      <w:r>
        <w:rPr>
          <w:rFonts w:ascii="Arial" w:hAnsi="Arial"/>
          <w:sz w:val="21"/>
        </w:rPr>
        <w:t xml:space="preserve">Försökskommunen svarar för att tillhandahålla offentlig arbetskrafts- och företagsservice (arbets- och näringstjänster) till dessa kundgrupper. Att arbetssökande hänvisas till att bli kunder hos kommunen innebär att arbets- och näringsbyrån informerar de arbetssökande om att deras hemkommun i fortsättningen ansvarar för att tillhandahålla dem arbets- och näringstjänster.  Hänvisningen av kunder till försöken är fortgående. </w:t>
      </w:r>
    </w:p>
    <w:p w:rsidR="00A04EDA" w:rsidRPr="00A04EDA" w:rsidRDefault="00821D7D" w:rsidP="00A47CA2">
      <w:pPr>
        <w:pStyle w:val="Luettelokappale"/>
        <w:spacing w:before="360" w:after="200"/>
        <w:ind w:left="2608" w:hanging="2608"/>
        <w:contextualSpacing w:val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/>
          <w:b/>
          <w:sz w:val="21"/>
        </w:rPr>
        <w:t>Serviceprocess</w:t>
      </w:r>
    </w:p>
    <w:p w:rsidR="00EB510A" w:rsidRPr="0097680C" w:rsidRDefault="00263EE3" w:rsidP="00A47CA2">
      <w:pPr>
        <w:pStyle w:val="Luettelokappale"/>
        <w:spacing w:after="200"/>
        <w:ind w:left="2608"/>
        <w:contextualSpacing w:val="0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/>
          <w:sz w:val="21"/>
        </w:rPr>
        <w:t>I försöken tillämpas en effektiviserad servicemodell. Delområden i den effektiviserade servicemodellen är bland annat satsningar på en stark början på jobbsökningen, individuella möten med arbetslösa, bred bedömning av servicebehovet och hänvisning till tjänster. I den effektiviserade bedömningen av servicebehovet i initialskedet ingår också bedömning av den arbetslösa arbetssökandens kompetensbehov och fastställande av hans eller hennes utbildningsbehov, bedömning av arbetssökandens arbetsförmåga och bedömning av arbetssökandens behov av social- och hälsovårds- och rehabiliteringstjänster. Den ovannämnda bedömningen och hänvisningen till de kommunala social- och hälsovårdstjänsterna och FPA:s rehabiliteringstjänster samordnas med sysselsättningstjänsterna.</w:t>
      </w:r>
    </w:p>
    <w:p w:rsidR="00F7741C" w:rsidRDefault="00F7741C" w:rsidP="00A47CA2">
      <w:pPr>
        <w:jc w:val="both"/>
      </w:pPr>
      <w:r>
        <w:tab/>
      </w:r>
    </w:p>
    <w:p w:rsidR="000E7863" w:rsidRDefault="00F7741C" w:rsidP="00A47CA2">
      <w:pPr>
        <w:ind w:left="2608" w:hanging="2608"/>
        <w:jc w:val="both"/>
      </w:pPr>
      <w:r>
        <w:lastRenderedPageBreak/>
        <w:tab/>
        <w:t>Som en del av försöket skapas i områdena en samarbe</w:t>
      </w:r>
      <w:r w:rsidR="000A72E2">
        <w:t>tsstruktur, genom vilken</w:t>
      </w:r>
      <w:r>
        <w:t xml:space="preserve"> man säkerställer tillgången till kompetenstjänster samt att dessa tjänster ges i rätt tid och främjar sysselsättningen. I de regionala samarbetsnätverken deltar åtminstone de kommuner som deltar i försöket, närings-, trafik- och miljöcentralerna, arbets- och näringsbyråerna, producenterna av kompetenstjänster och utbildningsförvaltningen. </w:t>
      </w:r>
    </w:p>
    <w:p w:rsidR="00B40204" w:rsidRDefault="00B40204" w:rsidP="00A47CA2">
      <w:pPr>
        <w:ind w:left="2608" w:hanging="2608"/>
        <w:jc w:val="both"/>
        <w:rPr>
          <w:rFonts w:cs="Arial"/>
          <w:szCs w:val="21"/>
        </w:rPr>
      </w:pPr>
    </w:p>
    <w:p w:rsidR="009243DC" w:rsidRDefault="00263EE3" w:rsidP="00A47CA2">
      <w:pPr>
        <w:spacing w:after="200"/>
        <w:ind w:left="2608"/>
        <w:jc w:val="both"/>
      </w:pPr>
      <w:r>
        <w:t xml:space="preserve">I försöken ansvarar kommunen för serviceprocessen för och tillhandahållandet av arbets- och näringstjänster till arbetssökande som hänvisats till att bli kund hos kommunen. Ansvaret för kundprocessen innebär bland annat att </w:t>
      </w:r>
      <w:r w:rsidR="00964EBB">
        <w:t xml:space="preserve">kommunen sköter intervjun med </w:t>
      </w:r>
      <w:r>
        <w:t>arbetssökande</w:t>
      </w:r>
      <w:r w:rsidR="00964EBB">
        <w:t xml:space="preserve">n, bedömningen av </w:t>
      </w:r>
      <w:r>
        <w:t>sökande</w:t>
      </w:r>
      <w:r w:rsidR="00964EBB">
        <w:t>n</w:t>
      </w:r>
      <w:r>
        <w:t>s servicebehov samt utar</w:t>
      </w:r>
      <w:r w:rsidR="00964EBB">
        <w:t>betandet och uppföljningen av</w:t>
      </w:r>
      <w:r>
        <w:t xml:space="preserve"> sökande</w:t>
      </w:r>
      <w:r w:rsidR="00964EBB">
        <w:t>n</w:t>
      </w:r>
      <w:r>
        <w:t xml:space="preserve">s sysselsättnings-, integrations- eller aktiveringsplan på det sätt som föreskrivs i lagen om offentlig arbetskrafts- och företagsservice, lagen om främjande av integration, lagen om sektorsövergripande samservice som främjar sysselsättningen, lagen om arbetsverksamhet i rehabiliteringssyfte och den lag </w:t>
      </w:r>
      <w:r w:rsidR="007A5F41">
        <w:t xml:space="preserve">om försöken </w:t>
      </w:r>
      <w:r>
        <w:t xml:space="preserve">som ska </w:t>
      </w:r>
      <w:r w:rsidR="007A5F41">
        <w:t>stift</w:t>
      </w:r>
      <w:r>
        <w:t>as.</w:t>
      </w:r>
    </w:p>
    <w:p w:rsidR="00B34209" w:rsidRPr="009341FA" w:rsidRDefault="008F2A26" w:rsidP="00A47CA2">
      <w:pPr>
        <w:pStyle w:val="LLPerustelujenkappalejako"/>
        <w:spacing w:after="200" w:line="240" w:lineRule="auto"/>
        <w:ind w:left="2608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</w:rPr>
        <w:t xml:space="preserve">Kommunen erbjuder </w:t>
      </w:r>
      <w:r w:rsidR="00607A7C">
        <w:rPr>
          <w:rFonts w:ascii="Arial" w:hAnsi="Arial"/>
          <w:sz w:val="21"/>
        </w:rPr>
        <w:t xml:space="preserve">arbetssökande arbetsförmedlings-, informations- och rådgivningstjänster samt yrkesvals- och karriärvägledningstjänster i enlighet med lagen om offentlig arbetskrafts- och företagsservice samt arbets- och näringsbyråns tjänster för invandrarkunder i enlighet med lagen om främjande av integration. </w:t>
      </w:r>
      <w:r w:rsidR="00607A7C" w:rsidRPr="00821D7D">
        <w:rPr>
          <w:rFonts w:ascii="Arial" w:hAnsi="Arial" w:cs="Arial"/>
          <w:sz w:val="21"/>
          <w:szCs w:val="21"/>
        </w:rPr>
        <w:t xml:space="preserve">Kommunen kan också bevilja lönesubvention (med undantag för </w:t>
      </w:r>
      <w:r w:rsidR="007D277A">
        <w:rPr>
          <w:rFonts w:ascii="Arial" w:hAnsi="Arial" w:cs="Arial"/>
          <w:sz w:val="21"/>
          <w:szCs w:val="21"/>
        </w:rPr>
        <w:t xml:space="preserve">lönesubventionerade jobb hos </w:t>
      </w:r>
      <w:r w:rsidR="00607A7C" w:rsidRPr="00821D7D">
        <w:rPr>
          <w:rFonts w:ascii="Arial" w:hAnsi="Arial" w:cs="Arial"/>
          <w:sz w:val="21"/>
          <w:szCs w:val="21"/>
        </w:rPr>
        <w:t>kommunen) och startpeng, ordna arbetsprövning och anvisa arbetssökande till arbetskraftsutbildning och jobbsökarträning.</w:t>
      </w:r>
      <w:r w:rsidR="00607A7C">
        <w:rPr>
          <w:rFonts w:ascii="Arial" w:hAnsi="Arial"/>
          <w:sz w:val="21"/>
        </w:rPr>
        <w:t xml:space="preserve"> Kommunen kan förmedla information om anmälda lediga jobb samt för arbetsgivare presentera arbetssökande som är lämpliga för lediga jobb. </w:t>
      </w:r>
    </w:p>
    <w:p w:rsidR="00607A7C" w:rsidRDefault="00607A7C" w:rsidP="00A47CA2">
      <w:pPr>
        <w:spacing w:after="200"/>
        <w:ind w:left="2608"/>
        <w:jc w:val="both"/>
      </w:pPr>
      <w:r>
        <w:t>Kommunerna kan ge de arbetssökande arbetserbjudanden. Arbetserbjudandena är kopplade till kravet på motprestation inom utkomstskyddet för arbetslösa. Även i fråga om de kunder som övergår till försöket är det fortsatt arbets- och näringsbyråerna som ger arbetskraftspolitiska utlåtanden för utkomstskyddet för arbetslösa, och försökskommunerna har till uppgift att ge arbets- och näringsbyråerna de uppgifter som behövs för att kravet på motprestation ska kunna genomföras och utlåtanden ska kunna ges.</w:t>
      </w:r>
    </w:p>
    <w:p w:rsidR="007D56C5" w:rsidRDefault="000562CD" w:rsidP="00A47CA2">
      <w:pPr>
        <w:spacing w:before="360" w:after="200"/>
        <w:ind w:left="2608" w:hanging="2608"/>
        <w:jc w:val="both"/>
        <w:rPr>
          <w:rFonts w:cs="Arial"/>
          <w:b/>
          <w:szCs w:val="21"/>
        </w:rPr>
      </w:pPr>
      <w:r>
        <w:rPr>
          <w:i/>
          <w:color w:val="FF0000"/>
        </w:rPr>
        <w:t xml:space="preserve"> </w:t>
      </w:r>
      <w:r>
        <w:rPr>
          <w:b/>
        </w:rPr>
        <w:t>Resurser</w:t>
      </w:r>
      <w:r>
        <w:tab/>
      </w:r>
    </w:p>
    <w:p w:rsidR="00C45C77" w:rsidRDefault="007D56C5" w:rsidP="00A47CA2">
      <w:pPr>
        <w:spacing w:after="200"/>
        <w:ind w:left="2608" w:hanging="2608"/>
        <w:jc w:val="both"/>
        <w:rPr>
          <w:rFonts w:cs="Arial"/>
          <w:szCs w:val="21"/>
        </w:rPr>
      </w:pPr>
      <w:r>
        <w:lastRenderedPageBreak/>
        <w:tab/>
        <w:t>I försöken eftersträvas en starkare verkningsfullhet genom samordning av statens och kommunernas resurser, k</w:t>
      </w:r>
      <w:r w:rsidR="0089767E">
        <w:t>unnande</w:t>
      </w:r>
      <w:r>
        <w:t xml:space="preserve"> och tjänster. De resurser som anvisas från staten till försöken dimensioneras så att man med hjälp av dem säkerställer att nivån på servicen för målgruppen motsvarar den nuvarande. </w:t>
      </w:r>
    </w:p>
    <w:p w:rsidR="00E20C1D" w:rsidRPr="00814918" w:rsidRDefault="00C45C77" w:rsidP="00A47CA2">
      <w:pPr>
        <w:spacing w:after="200"/>
        <w:ind w:left="2608" w:hanging="2608"/>
        <w:jc w:val="both"/>
      </w:pPr>
      <w:r>
        <w:tab/>
        <w:t>Kommunerna förutsätts bidra med egna insatser för att höja servicenivån och utveckla tjänsterna. Som referensvärde för kommunern</w:t>
      </w:r>
      <w:r w:rsidR="00014473">
        <w:t>as egen resursallokering</w:t>
      </w:r>
      <w:r>
        <w:t xml:space="preserve"> används på årsnivå en nivå på minst 15 procent av utgifterna för arbetsmarknadsstöd 2018, inklusive den personalinsats och utvecklingsinsats som riktas till försöket och andra än lagstadgade tjänster till kunderna i försöket. I ansökan ska kommunerna ge en </w:t>
      </w:r>
      <w:r w:rsidR="00014473">
        <w:t>bedömning av de resurser som allokeras</w:t>
      </w:r>
      <w:r>
        <w:t xml:space="preserve"> till försöket med motivering. </w:t>
      </w:r>
    </w:p>
    <w:p w:rsidR="00680EA6" w:rsidRDefault="0074684B" w:rsidP="00A47CA2">
      <w:pPr>
        <w:spacing w:after="200"/>
        <w:ind w:left="2608"/>
        <w:jc w:val="both"/>
        <w:rPr>
          <w:rFonts w:cs="Arial"/>
          <w:szCs w:val="21"/>
        </w:rPr>
      </w:pPr>
      <w:r>
        <w:t>Från staten överförs till kommunerna personalresurser under den kommunala arbetsledningen samt beslutanderätt i fråga om användningen av sysselsättningsanslag enligt antalet kunder i projekten.</w:t>
      </w:r>
    </w:p>
    <w:p w:rsidR="0006519C" w:rsidRPr="00680EA6" w:rsidRDefault="00862B3D" w:rsidP="00A47CA2">
      <w:pPr>
        <w:spacing w:after="200"/>
        <w:ind w:left="2608"/>
        <w:jc w:val="both"/>
        <w:rPr>
          <w:rFonts w:cs="Arial"/>
          <w:szCs w:val="21"/>
        </w:rPr>
      </w:pPr>
      <w:r>
        <w:t>Utgångspunkten är att allokeringen av personalresurser till försöken baserar sig på storle</w:t>
      </w:r>
      <w:r w:rsidR="002C50E4">
        <w:t>ken på den målgrupp som övergår</w:t>
      </w:r>
      <w:r>
        <w:t xml:space="preserve"> och dess servicebehov. Dessutom strävar man efter att bedöma den faktiska användningen av resurserna, där man beaktar målgruppens servicelinje (servicebehovssegment) samt de uppgifter i anslutning till arbetssökandens serviceprocess som arbets- och näringsbyrån fortsatt ska ansvara för (bl.a. utkomstskydd för arbetslösa, beslut om lönesubvention till kommuner, arbetstillstånd, arbetskraftspolitiska anskaffningar, sysselsättningspolitiska understöd, arbets- och näringsförvaltningens kundservicecenter/riksomfattande telefontjänster).</w:t>
      </w:r>
    </w:p>
    <w:p w:rsidR="00203656" w:rsidRDefault="00203656" w:rsidP="00A47CA2">
      <w:pPr>
        <w:spacing w:after="200"/>
        <w:ind w:left="2608" w:hanging="2608"/>
        <w:jc w:val="both"/>
      </w:pPr>
      <w:r>
        <w:tab/>
        <w:t xml:space="preserve">Beslutanderätten om användningen av sysselsättningsanslag gäller beslut om lönesubventionerat arbete (med undantag för lönesubventionerade jobb hos kommunen) och beslut om startpeng inom ramen för en på förhand </w:t>
      </w:r>
      <w:r w:rsidR="00866678">
        <w:t>fastställd</w:t>
      </w:r>
      <w:r>
        <w:t xml:space="preserve"> kvot. Vid fastställandet av kvoten utnyttjas information om målgruppens nuvarande deltagande i de ovannämnda tjänsterna. Beslutanderätten kvoteras i sådan omfattning att motsvarande andel av den målgrupp som övergår till kommunerna kan sysselsättas med lönesubvention eller startpeng, </w:t>
      </w:r>
      <w:r w:rsidR="00BD6AAC">
        <w:t>om</w:t>
      </w:r>
      <w:r>
        <w:t xml:space="preserve"> enhetskostnaderna för tjänsterna i fråga förblir oförändrade.</w:t>
      </w:r>
    </w:p>
    <w:p w:rsidR="00254AB9" w:rsidRDefault="00862B3D" w:rsidP="00A47CA2">
      <w:pPr>
        <w:spacing w:after="200"/>
        <w:ind w:left="2608" w:hanging="2608"/>
        <w:jc w:val="both"/>
      </w:pPr>
      <w:r>
        <w:tab/>
        <w:t xml:space="preserve">Arbets- och näringsministeriet bereder och sänder riktgivande kalkyler över resursallokeringen till kommunerna inom ansökningstiden. </w:t>
      </w:r>
    </w:p>
    <w:p w:rsidR="003E4B1B" w:rsidRPr="00C17B71" w:rsidRDefault="0059471B" w:rsidP="00A47CA2">
      <w:pPr>
        <w:spacing w:after="200"/>
        <w:ind w:left="2608" w:hanging="2608"/>
        <w:jc w:val="both"/>
      </w:pPr>
      <w:r>
        <w:lastRenderedPageBreak/>
        <w:tab/>
        <w:t>Närings-, trafik- och miljöcentralerna svarar för anskaffningar av träning och utbildning på ett sådant sätt att de också kan användas av sysselsättningsförsöken.  Anskaffningar av tjänster planeras i samarbete med kommunerna. Också för utbildning och träning fastställs anslagskvoter för de kommuner som deltar i försöken. Vid fastställandet av kvoten tillämpas samma logik som i fråga om</w:t>
      </w:r>
      <w:r w:rsidR="001B0338">
        <w:t xml:space="preserve"> kvoten för</w:t>
      </w:r>
      <w:r>
        <w:t xml:space="preserve"> lönesubvention och startpeng.</w:t>
      </w:r>
    </w:p>
    <w:p w:rsidR="00C24FF6" w:rsidRDefault="00261670" w:rsidP="00A47CA2">
      <w:pPr>
        <w:spacing w:before="360" w:after="200"/>
        <w:ind w:left="2608" w:hanging="2608"/>
        <w:jc w:val="both"/>
        <w:rPr>
          <w:b/>
          <w:szCs w:val="24"/>
        </w:rPr>
      </w:pPr>
      <w:r>
        <w:rPr>
          <w:b/>
        </w:rPr>
        <w:t>Systemlösningar</w:t>
      </w:r>
    </w:p>
    <w:p w:rsidR="00BD0CD8" w:rsidRPr="009341FA" w:rsidRDefault="00263EE3" w:rsidP="00A47CA2">
      <w:pPr>
        <w:pStyle w:val="Default"/>
        <w:spacing w:after="200"/>
        <w:ind w:left="2608" w:right="-2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/>
          <w:sz w:val="21"/>
        </w:rPr>
        <w:t xml:space="preserve">De kommuner som deltar i försöken får använda sig av arbets- och näringsförvaltningens kundinformationssystem URA. </w:t>
      </w:r>
      <w:r w:rsidR="0027095A">
        <w:rPr>
          <w:rFonts w:ascii="Arial" w:hAnsi="Arial"/>
          <w:sz w:val="21"/>
        </w:rPr>
        <w:t xml:space="preserve">År </w:t>
      </w:r>
      <w:r w:rsidR="0027095A">
        <w:rPr>
          <w:rFonts w:ascii="Arial" w:hAnsi="Arial"/>
          <w:sz w:val="21"/>
        </w:rPr>
        <w:t>2021</w:t>
      </w:r>
      <w:r w:rsidR="0027095A">
        <w:rPr>
          <w:rFonts w:ascii="Arial" w:hAnsi="Arial"/>
          <w:sz w:val="21"/>
        </w:rPr>
        <w:t xml:space="preserve"> övergår a</w:t>
      </w:r>
      <w:r>
        <w:rPr>
          <w:rFonts w:ascii="Arial" w:hAnsi="Arial"/>
          <w:sz w:val="21"/>
        </w:rPr>
        <w:t>rbets- och när</w:t>
      </w:r>
      <w:r w:rsidR="0027095A">
        <w:rPr>
          <w:rFonts w:ascii="Arial" w:hAnsi="Arial"/>
          <w:sz w:val="21"/>
        </w:rPr>
        <w:t>ingstjänsterna</w:t>
      </w:r>
      <w:bookmarkStart w:id="0" w:name="_GoBack"/>
      <w:bookmarkEnd w:id="0"/>
      <w:r>
        <w:rPr>
          <w:rFonts w:ascii="Arial" w:hAnsi="Arial"/>
          <w:sz w:val="21"/>
        </w:rPr>
        <w:t xml:space="preserve"> till ett nytt system för hantering av kunduppgifter. Övergången gäller också försöken. </w:t>
      </w:r>
    </w:p>
    <w:p w:rsidR="00C24FF6" w:rsidRDefault="005C5B0C" w:rsidP="00A47CA2">
      <w:pPr>
        <w:tabs>
          <w:tab w:val="left" w:pos="2094"/>
        </w:tabs>
        <w:spacing w:before="360" w:after="200"/>
        <w:ind w:left="2608" w:hanging="2608"/>
        <w:jc w:val="both"/>
        <w:rPr>
          <w:b/>
          <w:szCs w:val="24"/>
        </w:rPr>
      </w:pPr>
      <w:r>
        <w:rPr>
          <w:b/>
        </w:rPr>
        <w:t>Lokaler</w:t>
      </w:r>
    </w:p>
    <w:p w:rsidR="00172F92" w:rsidRPr="005C5B0C" w:rsidRDefault="00F8140E" w:rsidP="00A47CA2">
      <w:pPr>
        <w:pStyle w:val="Luettelokappale"/>
        <w:tabs>
          <w:tab w:val="left" w:pos="2094"/>
        </w:tabs>
        <w:spacing w:after="200"/>
        <w:ind w:left="2608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</w:rPr>
        <w:t xml:space="preserve">Försöken innebär en möjlighet att utöka närservicen och den personliga servicen ansikte mot ansikte i försökskommunerna. I försöken utnyttjas nuvarande lokaler så effektivt som möjligt. </w:t>
      </w:r>
    </w:p>
    <w:p w:rsidR="00BD4CDC" w:rsidRPr="0069076A" w:rsidRDefault="0049468D" w:rsidP="00A47CA2">
      <w:pPr>
        <w:spacing w:before="360" w:after="200"/>
        <w:ind w:left="2608" w:hanging="2608"/>
        <w:jc w:val="both"/>
        <w:rPr>
          <w:rFonts w:cs="Arial"/>
          <w:b/>
          <w:szCs w:val="21"/>
        </w:rPr>
      </w:pPr>
      <w:r>
        <w:rPr>
          <w:b/>
        </w:rPr>
        <w:t xml:space="preserve">Ansökan om att delta i försöken </w:t>
      </w:r>
    </w:p>
    <w:p w:rsidR="00E20C1D" w:rsidRDefault="00E20C1D" w:rsidP="00A47CA2">
      <w:pPr>
        <w:ind w:left="2608"/>
        <w:jc w:val="both"/>
      </w:pPr>
      <w:r>
        <w:t>En enskild kommun eller flera kommuner tillsammans inom en närings-, trafik- och miljöcentrals område kan ansöka om att genomföra ett försök, förutsatt att det sammanlagda antalet invånare i de kommuner som deltar i försöket är minst 30 000.  För att servicen i försöken och vid arbets- och näringsbyråerna ska löpa störningsfritt och funktionsförmågan kunna säkerställas, är det riktgivande målet att högst cirka 40 procent av arbets- och näringsbyråns arbetssökande kunder inom en närings-, trafik- och miljöcentrals område övergår till försöken</w:t>
      </w:r>
      <w:r>
        <w:rPr>
          <w:rStyle w:val="Alaviitteenviite"/>
        </w:rPr>
        <w:footnoteReference w:id="1"/>
      </w:r>
      <w:r>
        <w:t>.</w:t>
      </w:r>
    </w:p>
    <w:p w:rsidR="001B051E" w:rsidRDefault="001B051E" w:rsidP="00A47CA2">
      <w:pPr>
        <w:ind w:left="2608"/>
        <w:jc w:val="both"/>
      </w:pPr>
    </w:p>
    <w:p w:rsidR="00293188" w:rsidRDefault="0021776E" w:rsidP="00A47CA2">
      <w:pPr>
        <w:pStyle w:val="Default"/>
        <w:spacing w:after="200"/>
        <w:ind w:left="2608" w:right="-2"/>
        <w:jc w:val="both"/>
      </w:pPr>
      <w:r>
        <w:rPr>
          <w:rFonts w:ascii="Arial" w:hAnsi="Arial"/>
          <w:color w:val="auto"/>
          <w:sz w:val="21"/>
        </w:rPr>
        <w:t xml:space="preserve">När flera kommuner tillsammans genomför ett gemensamt försök, kommer kommunerna sinsemellan överens om arbetsfördelning och kundansvar. </w:t>
      </w:r>
      <w:r>
        <w:rPr>
          <w:rFonts w:ascii="Arial" w:hAnsi="Arial"/>
          <w:sz w:val="21"/>
        </w:rPr>
        <w:t xml:space="preserve">Kommunerna förutsätts samråda om försöken med närings-, trafik- och miljöcentralen och arbets- och näringsbyrån i regionen.  </w:t>
      </w:r>
    </w:p>
    <w:p w:rsidR="00293188" w:rsidRDefault="00293188" w:rsidP="00A47CA2">
      <w:pPr>
        <w:jc w:val="both"/>
      </w:pPr>
    </w:p>
    <w:p w:rsidR="00293188" w:rsidRDefault="00293188" w:rsidP="00A47CA2">
      <w:pPr>
        <w:jc w:val="both"/>
      </w:pPr>
    </w:p>
    <w:p w:rsidR="00293188" w:rsidRDefault="00293188" w:rsidP="00A47CA2">
      <w:pPr>
        <w:jc w:val="both"/>
      </w:pPr>
    </w:p>
    <w:p w:rsidR="00293188" w:rsidRDefault="00293188" w:rsidP="00A47CA2">
      <w:pPr>
        <w:jc w:val="both"/>
      </w:pPr>
    </w:p>
    <w:p w:rsidR="00293188" w:rsidRDefault="00293188" w:rsidP="00A47CA2">
      <w:pPr>
        <w:jc w:val="both"/>
      </w:pPr>
    </w:p>
    <w:p w:rsidR="0092235D" w:rsidRPr="0092235D" w:rsidRDefault="0092235D" w:rsidP="00A47CA2">
      <w:pPr>
        <w:jc w:val="both"/>
        <w:rPr>
          <w:color w:val="FF0000"/>
        </w:rPr>
      </w:pPr>
    </w:p>
    <w:p w:rsidR="0069076A" w:rsidRPr="0092235D" w:rsidRDefault="0069076A" w:rsidP="00A47CA2">
      <w:pPr>
        <w:jc w:val="both"/>
        <w:rPr>
          <w:color w:val="FF0000"/>
        </w:rPr>
      </w:pPr>
    </w:p>
    <w:p w:rsidR="0069076A" w:rsidRPr="0092235D" w:rsidRDefault="0069076A" w:rsidP="00A47CA2">
      <w:pPr>
        <w:jc w:val="both"/>
        <w:rPr>
          <w:color w:val="FF0000"/>
        </w:rPr>
      </w:pPr>
    </w:p>
    <w:sectPr w:rsidR="0069076A" w:rsidRPr="0092235D" w:rsidSect="00BA0FD7">
      <w:headerReference w:type="default" r:id="rId13"/>
      <w:headerReference w:type="first" r:id="rId14"/>
      <w:footerReference w:type="first" r:id="rId15"/>
      <w:type w:val="continuous"/>
      <w:pgSz w:w="11906" w:h="16838" w:code="9"/>
      <w:pgMar w:top="1588" w:right="1418" w:bottom="107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CA7" w:rsidRDefault="00C32CA7">
      <w:r>
        <w:separator/>
      </w:r>
    </w:p>
    <w:p w:rsidR="00C32CA7" w:rsidRDefault="00C32CA7"/>
  </w:endnote>
  <w:endnote w:type="continuationSeparator" w:id="0">
    <w:p w:rsidR="00C32CA7" w:rsidRDefault="00C32CA7">
      <w:r>
        <w:continuationSeparator/>
      </w:r>
    </w:p>
    <w:p w:rsidR="00C32CA7" w:rsidRDefault="00C32C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D7" w:rsidRDefault="00FF0C57" w:rsidP="00BA0FD7">
    <w:r>
      <w:rPr>
        <w:noProof/>
        <w:lang w:val="fi-FI" w:eastAsia="fi-FI" w:bidi="ar-SA"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765175</wp:posOffset>
          </wp:positionH>
          <wp:positionV relativeFrom="page">
            <wp:posOffset>9972040</wp:posOffset>
          </wp:positionV>
          <wp:extent cx="6008370" cy="33782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0FD7" w:rsidRDefault="00BA0FD7" w:rsidP="00BA0FD7"/>
  <w:p w:rsidR="004F7C4F" w:rsidRDefault="007A1993" w:rsidP="00BA0FD7">
    <w:r>
      <w:t xml:space="preserve"> </w:t>
    </w:r>
  </w:p>
  <w:p w:rsidR="004F7C4F" w:rsidRDefault="004F7C4F" w:rsidP="00BA0FD7"/>
  <w:p w:rsidR="002B0F16" w:rsidRDefault="002B0F16" w:rsidP="00BA0FD7"/>
  <w:p w:rsidR="002B0F16" w:rsidRDefault="002B0F16" w:rsidP="00BA0FD7"/>
  <w:p w:rsidR="002B0F16" w:rsidRPr="00F4037D" w:rsidRDefault="002B0F16" w:rsidP="00BA0FD7"/>
  <w:p w:rsidR="002B0F16" w:rsidRDefault="002B0F16" w:rsidP="00BA0F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CA7" w:rsidRDefault="00C32CA7">
      <w:r>
        <w:separator/>
      </w:r>
    </w:p>
    <w:p w:rsidR="00C32CA7" w:rsidRDefault="00C32CA7"/>
  </w:footnote>
  <w:footnote w:type="continuationSeparator" w:id="0">
    <w:p w:rsidR="00C32CA7" w:rsidRDefault="00C32CA7">
      <w:r>
        <w:continuationSeparator/>
      </w:r>
    </w:p>
    <w:p w:rsidR="00C32CA7" w:rsidRDefault="00C32CA7"/>
  </w:footnote>
  <w:footnote w:id="1">
    <w:p w:rsidR="00B33818" w:rsidRDefault="00B33818" w:rsidP="00B33818">
      <w:pPr>
        <w:pStyle w:val="Alaviitteenteksti"/>
      </w:pPr>
      <w:r>
        <w:rPr>
          <w:rStyle w:val="Alaviitteenviite"/>
        </w:rPr>
        <w:footnoteRef/>
      </w:r>
      <w:r>
        <w:t xml:space="preserve"> Vid synnerligen vägande skäl kan det göras undantag från kravet på invånarantal och målet om andelen kunder.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4F3" w:rsidRDefault="00FF0C57" w:rsidP="00A07662">
    <w:pPr>
      <w:pStyle w:val="Yltunniste"/>
    </w:pPr>
    <w:r>
      <w:rPr>
        <w:noProof/>
        <w:lang w:val="fi-FI" w:eastAsia="fi-FI" w:bidi="ar-SA"/>
      </w:rPr>
      <mc:AlternateContent>
        <mc:Choice Requires="wps">
          <w:drawing>
            <wp:anchor distT="0" distB="0" distL="114300" distR="114300" simplePos="0" relativeHeight="251657216" behindDoc="1" locked="1" layoutInCell="0" allowOverlap="1">
              <wp:simplePos x="0" y="0"/>
              <wp:positionH relativeFrom="page">
                <wp:posOffset>3455670</wp:posOffset>
              </wp:positionH>
              <wp:positionV relativeFrom="page">
                <wp:posOffset>356235</wp:posOffset>
              </wp:positionV>
              <wp:extent cx="3392170" cy="356235"/>
              <wp:effectExtent l="0" t="0" r="0" b="0"/>
              <wp:wrapNone/>
              <wp:docPr id="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662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095A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">
                            <w:r w:rsidR="0027095A">
                              <w:rPr>
                                <w:noProof/>
                              </w:rPr>
                              <w:t>5</w:t>
                            </w:r>
                          </w:fldSimple>
                        </w:p>
                        <w:p w:rsidR="00A07662" w:rsidRDefault="00A07662" w:rsidP="00A07662">
                          <w:pPr>
                            <w:pStyle w:val="Yltunniste"/>
                            <w:jc w:val="right"/>
                          </w:pPr>
                          <w:r>
                            <w:rPr>
                              <w:rStyle w:val="akptunniste"/>
                            </w:rPr>
                            <w:fldChar w:fldCharType="begin"/>
                          </w:r>
                          <w:r>
                            <w:rPr>
                              <w:rStyle w:val="akptunniste"/>
                            </w:rPr>
                            <w:instrText xml:space="preserve"> DOCPROPERTY  tweb_doc_identifier  \* MERGEFORMAT </w:instrText>
                          </w:r>
                          <w:r>
                            <w:rPr>
                              <w:rStyle w:val="akptunniste"/>
                            </w:rPr>
                            <w:fldChar w:fldCharType="end"/>
                          </w:r>
                        </w:p>
                        <w:p w:rsidR="00A07662" w:rsidRPr="00FB630F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272.1pt;margin-top:28.05pt;width:267.1pt;height:28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LA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OVNIsCtAgAAqgUAAA4AAAAA&#10;AAAAAAAAAAAALgIAAGRycy9lMm9Eb2MueG1sUEsBAi0AFAAGAAgAAAAhADYzkgPfAAAACwEAAA8A&#10;AAAAAAAAAAAAAAAABwUAAGRycy9kb3ducmV2LnhtbFBLBQYAAAAABAAEAPMAAAATBgAAAAA=&#10;" o:allowincell="f" filled="f" stroked="f">
              <v:textbox inset="0,0,0,0">
                <w:txbxContent>
                  <w:p w:rsidR="00A07662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7095A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">
                      <w:r w:rsidR="0027095A">
                        <w:rPr>
                          <w:noProof/>
                        </w:rPr>
                        <w:t>5</w:t>
                      </w:r>
                    </w:fldSimple>
                  </w:p>
                  <w:p w:rsidR="00A07662" w:rsidRDefault="00A07662" w:rsidP="00A07662">
                    <w:pPr>
                      <w:pStyle w:val="Yltunniste"/>
                      <w:jc w:val="right"/>
                    </w:pPr>
                    <w:r>
                      <w:rPr>
                        <w:rStyle w:val="akptunniste"/>
                      </w:rPr>
                      <w:fldChar w:fldCharType="begin"/>
                    </w:r>
                    <w:r>
                      <w:rPr>
                        <w:rStyle w:val="akptunniste"/>
                      </w:rPr>
                      <w:instrText xml:space="preserve"> DOCPROPERTY  tweb_doc_identifier  \* MERGEFORMAT </w:instrText>
                    </w:r>
                    <w:r>
                      <w:rPr>
                        <w:rStyle w:val="akptunniste"/>
                      </w:rPr>
                      <w:fldChar w:fldCharType="end"/>
                    </w:r>
                  </w:p>
                  <w:p w:rsidR="00A07662" w:rsidRPr="00FB630F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CA" w:rsidRDefault="00FF0C57" w:rsidP="00BB30CA">
    <w:pPr>
      <w:pStyle w:val="Yltunniste"/>
    </w:pPr>
    <w:r>
      <w:rPr>
        <w:noProof/>
        <w:lang w:val="fi-FI" w:eastAsia="fi-FI" w:bidi="ar-SA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6443345</wp:posOffset>
              </wp:positionH>
              <wp:positionV relativeFrom="page">
                <wp:posOffset>1579245</wp:posOffset>
              </wp:positionV>
              <wp:extent cx="814070" cy="201295"/>
              <wp:effectExtent l="0" t="0" r="0" b="0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07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CC9" w:rsidRDefault="000E4CC9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0C0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">
                            <w:r w:rsidR="00B20C09">
                              <w:rPr>
                                <w:noProof/>
                              </w:rPr>
                              <w:t>5</w:t>
                            </w:r>
                          </w:fldSimple>
                        </w:p>
                        <w:p w:rsidR="000E4CC9" w:rsidRPr="00FB630F" w:rsidRDefault="000E4CC9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7.35pt;margin-top:124.35pt;width:64.1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xZ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" o:allowincell="f" filled="f" stroked="f">
              <v:textbox inset="0,0,0,0">
                <w:txbxContent>
                  <w:p w:rsidR="000E4CC9" w:rsidRDefault="000E4CC9" w:rsidP="000E4CC9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20C0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">
                      <w:r w:rsidR="00B20C09">
                        <w:rPr>
                          <w:noProof/>
                        </w:rPr>
                        <w:t>5</w:t>
                      </w:r>
                    </w:fldSimple>
                  </w:p>
                  <w:p w:rsidR="000E4CC9" w:rsidRPr="00FB630F" w:rsidRDefault="000E4CC9" w:rsidP="000E4CC9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>
    <w:pPr>
      <w:pStyle w:val="Yltunniste"/>
    </w:pPr>
  </w:p>
  <w:p w:rsidR="00BB30CA" w:rsidRDefault="00FF0C57">
    <w:pPr>
      <w:pStyle w:val="Yltunniste"/>
    </w:pPr>
    <w:r>
      <w:rPr>
        <w:noProof/>
        <w:lang w:val="fi-FI" w:eastAsia="fi-FI" w:bidi="ar-SA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2950210</wp:posOffset>
          </wp:positionH>
          <wp:positionV relativeFrom="page">
            <wp:posOffset>294005</wp:posOffset>
          </wp:positionV>
          <wp:extent cx="1623695" cy="860425"/>
          <wp:effectExtent l="0" t="0" r="0" b="0"/>
          <wp:wrapNone/>
          <wp:docPr id="2" name="Kuva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ADE"/>
    <w:multiLevelType w:val="hybridMultilevel"/>
    <w:tmpl w:val="F54C1676"/>
    <w:lvl w:ilvl="0" w:tplc="55948CFA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F4C7FB1"/>
    <w:multiLevelType w:val="hybridMultilevel"/>
    <w:tmpl w:val="A912C7AA"/>
    <w:lvl w:ilvl="0" w:tplc="704C7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649B0"/>
    <w:multiLevelType w:val="hybridMultilevel"/>
    <w:tmpl w:val="5E48742E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57215"/>
    <w:multiLevelType w:val="hybridMultilevel"/>
    <w:tmpl w:val="94447AC6"/>
    <w:lvl w:ilvl="0" w:tplc="0D54AC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0462B"/>
    <w:multiLevelType w:val="hybridMultilevel"/>
    <w:tmpl w:val="90BE2C08"/>
    <w:lvl w:ilvl="0" w:tplc="C38675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6" w15:restartNumberingAfterBreak="0">
    <w:nsid w:val="38E731E4"/>
    <w:multiLevelType w:val="hybridMultilevel"/>
    <w:tmpl w:val="0A92D9E4"/>
    <w:lvl w:ilvl="0" w:tplc="EEF6F9AE">
      <w:numFmt w:val="bullet"/>
      <w:lvlText w:val=""/>
      <w:lvlJc w:val="left"/>
      <w:pPr>
        <w:ind w:left="1664" w:hanging="360"/>
      </w:pPr>
      <w:rPr>
        <w:rFonts w:ascii="Symbol" w:eastAsia="Calibri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601438AF"/>
    <w:multiLevelType w:val="hybridMultilevel"/>
    <w:tmpl w:val="B928B866"/>
    <w:lvl w:ilvl="0" w:tplc="AF2EF2B0">
      <w:start w:val="1"/>
      <w:numFmt w:val="bullet"/>
      <w:lvlText w:val="•"/>
      <w:lvlJc w:val="left"/>
      <w:pPr>
        <w:tabs>
          <w:tab w:val="num" w:pos="2968"/>
        </w:tabs>
        <w:ind w:left="2968" w:hanging="360"/>
      </w:pPr>
      <w:rPr>
        <w:rFonts w:ascii="Arial" w:hAnsi="Arial" w:cs="Times New Roman" w:hint="default"/>
      </w:rPr>
    </w:lvl>
    <w:lvl w:ilvl="1" w:tplc="FE8C0820">
      <w:start w:val="144"/>
      <w:numFmt w:val="bullet"/>
      <w:lvlText w:val="•"/>
      <w:lvlJc w:val="left"/>
      <w:pPr>
        <w:tabs>
          <w:tab w:val="num" w:pos="3688"/>
        </w:tabs>
        <w:ind w:left="3688" w:hanging="360"/>
      </w:pPr>
      <w:rPr>
        <w:rFonts w:ascii="Arial" w:hAnsi="Arial" w:cs="Times New Roman" w:hint="default"/>
      </w:rPr>
    </w:lvl>
    <w:lvl w:ilvl="2" w:tplc="0AC68F98">
      <w:start w:val="1"/>
      <w:numFmt w:val="bullet"/>
      <w:lvlText w:val="•"/>
      <w:lvlJc w:val="left"/>
      <w:pPr>
        <w:tabs>
          <w:tab w:val="num" w:pos="4408"/>
        </w:tabs>
        <w:ind w:left="4408" w:hanging="360"/>
      </w:pPr>
      <w:rPr>
        <w:rFonts w:ascii="Arial" w:hAnsi="Arial" w:cs="Times New Roman" w:hint="default"/>
      </w:rPr>
    </w:lvl>
    <w:lvl w:ilvl="3" w:tplc="34CA9710">
      <w:start w:val="1"/>
      <w:numFmt w:val="bullet"/>
      <w:lvlText w:val="•"/>
      <w:lvlJc w:val="left"/>
      <w:pPr>
        <w:tabs>
          <w:tab w:val="num" w:pos="5128"/>
        </w:tabs>
        <w:ind w:left="5128" w:hanging="360"/>
      </w:pPr>
      <w:rPr>
        <w:rFonts w:ascii="Arial" w:hAnsi="Arial" w:cs="Times New Roman" w:hint="default"/>
      </w:rPr>
    </w:lvl>
    <w:lvl w:ilvl="4" w:tplc="C2D4C59E">
      <w:start w:val="1"/>
      <w:numFmt w:val="bullet"/>
      <w:lvlText w:val="•"/>
      <w:lvlJc w:val="left"/>
      <w:pPr>
        <w:tabs>
          <w:tab w:val="num" w:pos="5848"/>
        </w:tabs>
        <w:ind w:left="5848" w:hanging="360"/>
      </w:pPr>
      <w:rPr>
        <w:rFonts w:ascii="Arial" w:hAnsi="Arial" w:cs="Times New Roman" w:hint="default"/>
      </w:rPr>
    </w:lvl>
    <w:lvl w:ilvl="5" w:tplc="D8A4A7A8">
      <w:start w:val="1"/>
      <w:numFmt w:val="bullet"/>
      <w:lvlText w:val="•"/>
      <w:lvlJc w:val="left"/>
      <w:pPr>
        <w:tabs>
          <w:tab w:val="num" w:pos="6568"/>
        </w:tabs>
        <w:ind w:left="6568" w:hanging="360"/>
      </w:pPr>
      <w:rPr>
        <w:rFonts w:ascii="Arial" w:hAnsi="Arial" w:cs="Times New Roman" w:hint="default"/>
      </w:rPr>
    </w:lvl>
    <w:lvl w:ilvl="6" w:tplc="6EDA4254">
      <w:start w:val="1"/>
      <w:numFmt w:val="bullet"/>
      <w:lvlText w:val="•"/>
      <w:lvlJc w:val="left"/>
      <w:pPr>
        <w:tabs>
          <w:tab w:val="num" w:pos="7288"/>
        </w:tabs>
        <w:ind w:left="7288" w:hanging="360"/>
      </w:pPr>
      <w:rPr>
        <w:rFonts w:ascii="Arial" w:hAnsi="Arial" w:cs="Times New Roman" w:hint="default"/>
      </w:rPr>
    </w:lvl>
    <w:lvl w:ilvl="7" w:tplc="0A5EF438">
      <w:start w:val="1"/>
      <w:numFmt w:val="bullet"/>
      <w:lvlText w:val="•"/>
      <w:lvlJc w:val="left"/>
      <w:pPr>
        <w:tabs>
          <w:tab w:val="num" w:pos="8008"/>
        </w:tabs>
        <w:ind w:left="8008" w:hanging="360"/>
      </w:pPr>
      <w:rPr>
        <w:rFonts w:ascii="Arial" w:hAnsi="Arial" w:cs="Times New Roman" w:hint="default"/>
      </w:rPr>
    </w:lvl>
    <w:lvl w:ilvl="8" w:tplc="CFFA571A">
      <w:start w:val="1"/>
      <w:numFmt w:val="bullet"/>
      <w:lvlText w:val="•"/>
      <w:lvlJc w:val="left"/>
      <w:pPr>
        <w:tabs>
          <w:tab w:val="num" w:pos="8728"/>
        </w:tabs>
        <w:ind w:left="8728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656C346A"/>
    <w:multiLevelType w:val="hybridMultilevel"/>
    <w:tmpl w:val="E3E0A37E"/>
    <w:lvl w:ilvl="0" w:tplc="19789A7A">
      <w:numFmt w:val="bullet"/>
      <w:lvlText w:val="-"/>
      <w:lvlJc w:val="left"/>
      <w:pPr>
        <w:ind w:left="404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0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808" w:hanging="360"/>
      </w:pPr>
      <w:rPr>
        <w:rFonts w:ascii="Wingdings" w:hAnsi="Wingdings" w:hint="default"/>
      </w:rPr>
    </w:lvl>
  </w:abstractNum>
  <w:abstractNum w:abstractNumId="9" w15:restartNumberingAfterBreak="0">
    <w:nsid w:val="657E60D7"/>
    <w:multiLevelType w:val="hybridMultilevel"/>
    <w:tmpl w:val="0316CD54"/>
    <w:lvl w:ilvl="0" w:tplc="311EB78C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  <w:b/>
        <w:color w:val="auto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0" w15:restartNumberingAfterBreak="0">
    <w:nsid w:val="666E577B"/>
    <w:multiLevelType w:val="hybridMultilevel"/>
    <w:tmpl w:val="E334F4EC"/>
    <w:lvl w:ilvl="0" w:tplc="902C4CE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  <w:color w:val="1F497D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styleLockQFSet/>
  <w:defaultTabStop w:val="1304"/>
  <w:autoHyphenation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6C"/>
    <w:rsid w:val="000108C5"/>
    <w:rsid w:val="00011826"/>
    <w:rsid w:val="000124CD"/>
    <w:rsid w:val="000133EA"/>
    <w:rsid w:val="00014473"/>
    <w:rsid w:val="00016922"/>
    <w:rsid w:val="000230FC"/>
    <w:rsid w:val="000243F5"/>
    <w:rsid w:val="00024523"/>
    <w:rsid w:val="00032E20"/>
    <w:rsid w:val="00037954"/>
    <w:rsid w:val="00044EBA"/>
    <w:rsid w:val="00047E59"/>
    <w:rsid w:val="00051A3D"/>
    <w:rsid w:val="00051EFA"/>
    <w:rsid w:val="00052824"/>
    <w:rsid w:val="000562CD"/>
    <w:rsid w:val="0006519C"/>
    <w:rsid w:val="00065645"/>
    <w:rsid w:val="000660CE"/>
    <w:rsid w:val="00066487"/>
    <w:rsid w:val="000664EE"/>
    <w:rsid w:val="00066DED"/>
    <w:rsid w:val="00073334"/>
    <w:rsid w:val="0007465E"/>
    <w:rsid w:val="00083F94"/>
    <w:rsid w:val="00084321"/>
    <w:rsid w:val="00086668"/>
    <w:rsid w:val="00086ED7"/>
    <w:rsid w:val="00090D70"/>
    <w:rsid w:val="00094C10"/>
    <w:rsid w:val="000959E2"/>
    <w:rsid w:val="00095DB2"/>
    <w:rsid w:val="000964DF"/>
    <w:rsid w:val="000A3583"/>
    <w:rsid w:val="000A5372"/>
    <w:rsid w:val="000A6B47"/>
    <w:rsid w:val="000A72E2"/>
    <w:rsid w:val="000C3E98"/>
    <w:rsid w:val="000C4BE1"/>
    <w:rsid w:val="000C78A5"/>
    <w:rsid w:val="000D0081"/>
    <w:rsid w:val="000D084E"/>
    <w:rsid w:val="000D096F"/>
    <w:rsid w:val="000D2904"/>
    <w:rsid w:val="000D5FA6"/>
    <w:rsid w:val="000D6470"/>
    <w:rsid w:val="000E0A9D"/>
    <w:rsid w:val="000E2D90"/>
    <w:rsid w:val="000E4CC9"/>
    <w:rsid w:val="000E4FA1"/>
    <w:rsid w:val="000E505E"/>
    <w:rsid w:val="000E60B6"/>
    <w:rsid w:val="000E661E"/>
    <w:rsid w:val="000E6E92"/>
    <w:rsid w:val="000E7863"/>
    <w:rsid w:val="000F2157"/>
    <w:rsid w:val="000F4E49"/>
    <w:rsid w:val="000F7414"/>
    <w:rsid w:val="0010600D"/>
    <w:rsid w:val="00106438"/>
    <w:rsid w:val="00107164"/>
    <w:rsid w:val="00110247"/>
    <w:rsid w:val="0011147F"/>
    <w:rsid w:val="0011232E"/>
    <w:rsid w:val="00112B71"/>
    <w:rsid w:val="001167D4"/>
    <w:rsid w:val="001233A8"/>
    <w:rsid w:val="00123FFE"/>
    <w:rsid w:val="00124E4A"/>
    <w:rsid w:val="001253F7"/>
    <w:rsid w:val="00131087"/>
    <w:rsid w:val="00140EF8"/>
    <w:rsid w:val="001418A5"/>
    <w:rsid w:val="0014416E"/>
    <w:rsid w:val="001444E6"/>
    <w:rsid w:val="0014506C"/>
    <w:rsid w:val="00146B2A"/>
    <w:rsid w:val="00152C8F"/>
    <w:rsid w:val="00155764"/>
    <w:rsid w:val="00161557"/>
    <w:rsid w:val="0016313F"/>
    <w:rsid w:val="0016590D"/>
    <w:rsid w:val="001667BE"/>
    <w:rsid w:val="00172F92"/>
    <w:rsid w:val="00176535"/>
    <w:rsid w:val="00177F06"/>
    <w:rsid w:val="00180420"/>
    <w:rsid w:val="00185C66"/>
    <w:rsid w:val="00186449"/>
    <w:rsid w:val="00196B31"/>
    <w:rsid w:val="001A132E"/>
    <w:rsid w:val="001A33A8"/>
    <w:rsid w:val="001A5725"/>
    <w:rsid w:val="001B0047"/>
    <w:rsid w:val="001B0338"/>
    <w:rsid w:val="001B051E"/>
    <w:rsid w:val="001B2E53"/>
    <w:rsid w:val="001B43FF"/>
    <w:rsid w:val="001B44F2"/>
    <w:rsid w:val="001B6B65"/>
    <w:rsid w:val="001C100B"/>
    <w:rsid w:val="001C19A6"/>
    <w:rsid w:val="001C3D0C"/>
    <w:rsid w:val="001C52F0"/>
    <w:rsid w:val="001C6662"/>
    <w:rsid w:val="001D1A35"/>
    <w:rsid w:val="001E4282"/>
    <w:rsid w:val="001E48EF"/>
    <w:rsid w:val="001E4C86"/>
    <w:rsid w:val="001F0A82"/>
    <w:rsid w:val="001F35AC"/>
    <w:rsid w:val="00200351"/>
    <w:rsid w:val="00200D9F"/>
    <w:rsid w:val="00203656"/>
    <w:rsid w:val="00204820"/>
    <w:rsid w:val="00204894"/>
    <w:rsid w:val="00205DA7"/>
    <w:rsid w:val="00205DD4"/>
    <w:rsid w:val="00205E9A"/>
    <w:rsid w:val="00206EBA"/>
    <w:rsid w:val="0021033D"/>
    <w:rsid w:val="0021303C"/>
    <w:rsid w:val="002132E3"/>
    <w:rsid w:val="002133D5"/>
    <w:rsid w:val="0021461E"/>
    <w:rsid w:val="002150A1"/>
    <w:rsid w:val="0021776E"/>
    <w:rsid w:val="002227BC"/>
    <w:rsid w:val="0022282F"/>
    <w:rsid w:val="002324ED"/>
    <w:rsid w:val="00233A9E"/>
    <w:rsid w:val="00240A41"/>
    <w:rsid w:val="0024557E"/>
    <w:rsid w:val="00246B20"/>
    <w:rsid w:val="0025032A"/>
    <w:rsid w:val="0025172C"/>
    <w:rsid w:val="00254AB9"/>
    <w:rsid w:val="00256C44"/>
    <w:rsid w:val="00261670"/>
    <w:rsid w:val="002639F7"/>
    <w:rsid w:val="00263EE3"/>
    <w:rsid w:val="00267478"/>
    <w:rsid w:val="0027095A"/>
    <w:rsid w:val="002763DB"/>
    <w:rsid w:val="00276B29"/>
    <w:rsid w:val="00277F96"/>
    <w:rsid w:val="00280CFF"/>
    <w:rsid w:val="00282A50"/>
    <w:rsid w:val="00284696"/>
    <w:rsid w:val="00284904"/>
    <w:rsid w:val="0028517A"/>
    <w:rsid w:val="00285CB2"/>
    <w:rsid w:val="002865D5"/>
    <w:rsid w:val="002867BA"/>
    <w:rsid w:val="00290D8B"/>
    <w:rsid w:val="00293188"/>
    <w:rsid w:val="002A353B"/>
    <w:rsid w:val="002A6443"/>
    <w:rsid w:val="002A68FB"/>
    <w:rsid w:val="002A6EEF"/>
    <w:rsid w:val="002A7EED"/>
    <w:rsid w:val="002B0F16"/>
    <w:rsid w:val="002B145D"/>
    <w:rsid w:val="002B1465"/>
    <w:rsid w:val="002B2E0F"/>
    <w:rsid w:val="002B3AD2"/>
    <w:rsid w:val="002C0AD8"/>
    <w:rsid w:val="002C124A"/>
    <w:rsid w:val="002C1927"/>
    <w:rsid w:val="002C50E4"/>
    <w:rsid w:val="002D0424"/>
    <w:rsid w:val="002D0916"/>
    <w:rsid w:val="002D118F"/>
    <w:rsid w:val="002D4892"/>
    <w:rsid w:val="002D57D5"/>
    <w:rsid w:val="002D7A71"/>
    <w:rsid w:val="002E635F"/>
    <w:rsid w:val="002F33DE"/>
    <w:rsid w:val="002F34C4"/>
    <w:rsid w:val="002F5C73"/>
    <w:rsid w:val="002F6437"/>
    <w:rsid w:val="002F6AF4"/>
    <w:rsid w:val="00301A50"/>
    <w:rsid w:val="0030209A"/>
    <w:rsid w:val="00302E0D"/>
    <w:rsid w:val="003065A7"/>
    <w:rsid w:val="00307F4C"/>
    <w:rsid w:val="00312AB3"/>
    <w:rsid w:val="00315FEF"/>
    <w:rsid w:val="00317156"/>
    <w:rsid w:val="003221EF"/>
    <w:rsid w:val="00323503"/>
    <w:rsid w:val="003236F5"/>
    <w:rsid w:val="003241A6"/>
    <w:rsid w:val="0032493B"/>
    <w:rsid w:val="003323E0"/>
    <w:rsid w:val="00333F8F"/>
    <w:rsid w:val="0033471E"/>
    <w:rsid w:val="003376FB"/>
    <w:rsid w:val="003422FD"/>
    <w:rsid w:val="003463A3"/>
    <w:rsid w:val="00350D73"/>
    <w:rsid w:val="00351480"/>
    <w:rsid w:val="003525A9"/>
    <w:rsid w:val="0035399A"/>
    <w:rsid w:val="003564B3"/>
    <w:rsid w:val="00357307"/>
    <w:rsid w:val="00360073"/>
    <w:rsid w:val="00362ADF"/>
    <w:rsid w:val="003646FD"/>
    <w:rsid w:val="00367163"/>
    <w:rsid w:val="003703DD"/>
    <w:rsid w:val="00370B29"/>
    <w:rsid w:val="00372F96"/>
    <w:rsid w:val="00373808"/>
    <w:rsid w:val="00374779"/>
    <w:rsid w:val="00375246"/>
    <w:rsid w:val="003757A5"/>
    <w:rsid w:val="0037690B"/>
    <w:rsid w:val="00381C83"/>
    <w:rsid w:val="003835A6"/>
    <w:rsid w:val="00385537"/>
    <w:rsid w:val="003855D5"/>
    <w:rsid w:val="00385A23"/>
    <w:rsid w:val="00386A1F"/>
    <w:rsid w:val="00386A65"/>
    <w:rsid w:val="00387008"/>
    <w:rsid w:val="00390417"/>
    <w:rsid w:val="00393B44"/>
    <w:rsid w:val="003A0567"/>
    <w:rsid w:val="003B0583"/>
    <w:rsid w:val="003B4E90"/>
    <w:rsid w:val="003B7A8E"/>
    <w:rsid w:val="003C0EF9"/>
    <w:rsid w:val="003C0FC5"/>
    <w:rsid w:val="003C57DA"/>
    <w:rsid w:val="003C7039"/>
    <w:rsid w:val="003C7187"/>
    <w:rsid w:val="003D0687"/>
    <w:rsid w:val="003D18C3"/>
    <w:rsid w:val="003D30BA"/>
    <w:rsid w:val="003D42AC"/>
    <w:rsid w:val="003D7C63"/>
    <w:rsid w:val="003E3AFD"/>
    <w:rsid w:val="003E4011"/>
    <w:rsid w:val="003E4B1B"/>
    <w:rsid w:val="003E6477"/>
    <w:rsid w:val="003E7558"/>
    <w:rsid w:val="003F3EC5"/>
    <w:rsid w:val="003F7FFC"/>
    <w:rsid w:val="0040008C"/>
    <w:rsid w:val="00401F03"/>
    <w:rsid w:val="0040406B"/>
    <w:rsid w:val="00407424"/>
    <w:rsid w:val="00412015"/>
    <w:rsid w:val="00421220"/>
    <w:rsid w:val="00423292"/>
    <w:rsid w:val="00427AE3"/>
    <w:rsid w:val="00432AC3"/>
    <w:rsid w:val="00432F18"/>
    <w:rsid w:val="00433822"/>
    <w:rsid w:val="00436469"/>
    <w:rsid w:val="00440760"/>
    <w:rsid w:val="00440C32"/>
    <w:rsid w:val="004413BE"/>
    <w:rsid w:val="00447714"/>
    <w:rsid w:val="0045660F"/>
    <w:rsid w:val="004577C7"/>
    <w:rsid w:val="00457F00"/>
    <w:rsid w:val="00470F06"/>
    <w:rsid w:val="00471484"/>
    <w:rsid w:val="00472E08"/>
    <w:rsid w:val="004740E7"/>
    <w:rsid w:val="004761B0"/>
    <w:rsid w:val="00476E5C"/>
    <w:rsid w:val="0047755E"/>
    <w:rsid w:val="00482BC1"/>
    <w:rsid w:val="00483F51"/>
    <w:rsid w:val="00484FE2"/>
    <w:rsid w:val="0048549E"/>
    <w:rsid w:val="004921CC"/>
    <w:rsid w:val="0049468D"/>
    <w:rsid w:val="00494FD4"/>
    <w:rsid w:val="0049523D"/>
    <w:rsid w:val="004953D7"/>
    <w:rsid w:val="004A3330"/>
    <w:rsid w:val="004A3C31"/>
    <w:rsid w:val="004B2020"/>
    <w:rsid w:val="004B4935"/>
    <w:rsid w:val="004C4EB9"/>
    <w:rsid w:val="004C711D"/>
    <w:rsid w:val="004C72E8"/>
    <w:rsid w:val="004D63CE"/>
    <w:rsid w:val="004E4D31"/>
    <w:rsid w:val="004E5453"/>
    <w:rsid w:val="004E56D3"/>
    <w:rsid w:val="004E756B"/>
    <w:rsid w:val="004F2A7E"/>
    <w:rsid w:val="004F4533"/>
    <w:rsid w:val="004F4D64"/>
    <w:rsid w:val="004F67F8"/>
    <w:rsid w:val="004F7C4F"/>
    <w:rsid w:val="00503A70"/>
    <w:rsid w:val="00511064"/>
    <w:rsid w:val="00512645"/>
    <w:rsid w:val="00513567"/>
    <w:rsid w:val="00516252"/>
    <w:rsid w:val="0051749F"/>
    <w:rsid w:val="00523C70"/>
    <w:rsid w:val="005252C4"/>
    <w:rsid w:val="00526390"/>
    <w:rsid w:val="00526BBB"/>
    <w:rsid w:val="00526EFB"/>
    <w:rsid w:val="005308DE"/>
    <w:rsid w:val="00536ADE"/>
    <w:rsid w:val="00541595"/>
    <w:rsid w:val="00546524"/>
    <w:rsid w:val="00547230"/>
    <w:rsid w:val="005542A1"/>
    <w:rsid w:val="0055617D"/>
    <w:rsid w:val="00557AA1"/>
    <w:rsid w:val="00564C61"/>
    <w:rsid w:val="0057039E"/>
    <w:rsid w:val="005831AC"/>
    <w:rsid w:val="00583E0A"/>
    <w:rsid w:val="00584095"/>
    <w:rsid w:val="00586FE6"/>
    <w:rsid w:val="0059215F"/>
    <w:rsid w:val="00594412"/>
    <w:rsid w:val="0059471B"/>
    <w:rsid w:val="005957E3"/>
    <w:rsid w:val="0059738C"/>
    <w:rsid w:val="005A0613"/>
    <w:rsid w:val="005A0CE2"/>
    <w:rsid w:val="005A2999"/>
    <w:rsid w:val="005A379D"/>
    <w:rsid w:val="005A4092"/>
    <w:rsid w:val="005A559B"/>
    <w:rsid w:val="005A5C0D"/>
    <w:rsid w:val="005B4E1B"/>
    <w:rsid w:val="005C31F0"/>
    <w:rsid w:val="005C3383"/>
    <w:rsid w:val="005C4A69"/>
    <w:rsid w:val="005C510B"/>
    <w:rsid w:val="005C5B0C"/>
    <w:rsid w:val="005C7A3B"/>
    <w:rsid w:val="005D28DB"/>
    <w:rsid w:val="005D529F"/>
    <w:rsid w:val="005E265D"/>
    <w:rsid w:val="005E6D6B"/>
    <w:rsid w:val="005F01EE"/>
    <w:rsid w:val="005F03E5"/>
    <w:rsid w:val="005F41DF"/>
    <w:rsid w:val="005F5467"/>
    <w:rsid w:val="005F74EA"/>
    <w:rsid w:val="0060768A"/>
    <w:rsid w:val="00607A7C"/>
    <w:rsid w:val="006157D2"/>
    <w:rsid w:val="0062018D"/>
    <w:rsid w:val="00623329"/>
    <w:rsid w:val="006235D0"/>
    <w:rsid w:val="00624F20"/>
    <w:rsid w:val="00630CD1"/>
    <w:rsid w:val="0063146D"/>
    <w:rsid w:val="00631B36"/>
    <w:rsid w:val="00635891"/>
    <w:rsid w:val="00637476"/>
    <w:rsid w:val="00637AAD"/>
    <w:rsid w:val="00640DAB"/>
    <w:rsid w:val="006417D9"/>
    <w:rsid w:val="00641952"/>
    <w:rsid w:val="006427D0"/>
    <w:rsid w:val="00645014"/>
    <w:rsid w:val="006454FA"/>
    <w:rsid w:val="00645758"/>
    <w:rsid w:val="0065001D"/>
    <w:rsid w:val="006506CB"/>
    <w:rsid w:val="00652D79"/>
    <w:rsid w:val="00654D34"/>
    <w:rsid w:val="00657F29"/>
    <w:rsid w:val="0066014C"/>
    <w:rsid w:val="006637C7"/>
    <w:rsid w:val="00663DDE"/>
    <w:rsid w:val="00665DC6"/>
    <w:rsid w:val="006722A3"/>
    <w:rsid w:val="00677470"/>
    <w:rsid w:val="00677921"/>
    <w:rsid w:val="00680426"/>
    <w:rsid w:val="00680B92"/>
    <w:rsid w:val="00680EA6"/>
    <w:rsid w:val="00683394"/>
    <w:rsid w:val="00684BB4"/>
    <w:rsid w:val="00690653"/>
    <w:rsid w:val="0069076A"/>
    <w:rsid w:val="00692EEC"/>
    <w:rsid w:val="006941C7"/>
    <w:rsid w:val="00697F45"/>
    <w:rsid w:val="006A6B04"/>
    <w:rsid w:val="006B0EC9"/>
    <w:rsid w:val="006B2017"/>
    <w:rsid w:val="006B2034"/>
    <w:rsid w:val="006B3480"/>
    <w:rsid w:val="006B4E62"/>
    <w:rsid w:val="006C3283"/>
    <w:rsid w:val="006C793D"/>
    <w:rsid w:val="006D0AAF"/>
    <w:rsid w:val="006D3D41"/>
    <w:rsid w:val="006D59D2"/>
    <w:rsid w:val="006D78B8"/>
    <w:rsid w:val="006E1C29"/>
    <w:rsid w:val="006E3970"/>
    <w:rsid w:val="006E4F2E"/>
    <w:rsid w:val="006E68A1"/>
    <w:rsid w:val="006F001A"/>
    <w:rsid w:val="006F15EF"/>
    <w:rsid w:val="006F4ECD"/>
    <w:rsid w:val="007013EF"/>
    <w:rsid w:val="00701471"/>
    <w:rsid w:val="007054CB"/>
    <w:rsid w:val="007177C2"/>
    <w:rsid w:val="0072086B"/>
    <w:rsid w:val="00720C0F"/>
    <w:rsid w:val="00720CC6"/>
    <w:rsid w:val="00721EC0"/>
    <w:rsid w:val="00721F99"/>
    <w:rsid w:val="0072352E"/>
    <w:rsid w:val="007301F6"/>
    <w:rsid w:val="00732D08"/>
    <w:rsid w:val="00733426"/>
    <w:rsid w:val="00734A50"/>
    <w:rsid w:val="00742161"/>
    <w:rsid w:val="0074332B"/>
    <w:rsid w:val="0074448E"/>
    <w:rsid w:val="00744876"/>
    <w:rsid w:val="00745AC3"/>
    <w:rsid w:val="00745C82"/>
    <w:rsid w:val="00745FDC"/>
    <w:rsid w:val="0074684B"/>
    <w:rsid w:val="007534EA"/>
    <w:rsid w:val="00755AB6"/>
    <w:rsid w:val="00755C18"/>
    <w:rsid w:val="00761A27"/>
    <w:rsid w:val="0076259C"/>
    <w:rsid w:val="0077386C"/>
    <w:rsid w:val="00776103"/>
    <w:rsid w:val="00780212"/>
    <w:rsid w:val="00786285"/>
    <w:rsid w:val="007863D8"/>
    <w:rsid w:val="007876F3"/>
    <w:rsid w:val="00793E94"/>
    <w:rsid w:val="007941D6"/>
    <w:rsid w:val="007953EA"/>
    <w:rsid w:val="00795806"/>
    <w:rsid w:val="007972F9"/>
    <w:rsid w:val="007A1993"/>
    <w:rsid w:val="007A19BF"/>
    <w:rsid w:val="007A3755"/>
    <w:rsid w:val="007A4F32"/>
    <w:rsid w:val="007A5193"/>
    <w:rsid w:val="007A5C71"/>
    <w:rsid w:val="007A5F41"/>
    <w:rsid w:val="007B3232"/>
    <w:rsid w:val="007B5ADD"/>
    <w:rsid w:val="007C3615"/>
    <w:rsid w:val="007C3D37"/>
    <w:rsid w:val="007C51C2"/>
    <w:rsid w:val="007C52F8"/>
    <w:rsid w:val="007C75E7"/>
    <w:rsid w:val="007D053C"/>
    <w:rsid w:val="007D1B26"/>
    <w:rsid w:val="007D277A"/>
    <w:rsid w:val="007D56C5"/>
    <w:rsid w:val="007D631B"/>
    <w:rsid w:val="007E3D85"/>
    <w:rsid w:val="007E5177"/>
    <w:rsid w:val="007E5A0E"/>
    <w:rsid w:val="007E7563"/>
    <w:rsid w:val="007F234E"/>
    <w:rsid w:val="007F6F38"/>
    <w:rsid w:val="00800AB5"/>
    <w:rsid w:val="00806278"/>
    <w:rsid w:val="0081005C"/>
    <w:rsid w:val="008137A2"/>
    <w:rsid w:val="00813968"/>
    <w:rsid w:val="00814918"/>
    <w:rsid w:val="00815A63"/>
    <w:rsid w:val="00817C85"/>
    <w:rsid w:val="00821CDC"/>
    <w:rsid w:val="00821D7D"/>
    <w:rsid w:val="00823257"/>
    <w:rsid w:val="00826BEA"/>
    <w:rsid w:val="00826BF0"/>
    <w:rsid w:val="00835839"/>
    <w:rsid w:val="008423BA"/>
    <w:rsid w:val="0084598B"/>
    <w:rsid w:val="0084629E"/>
    <w:rsid w:val="00847845"/>
    <w:rsid w:val="00851001"/>
    <w:rsid w:val="00856986"/>
    <w:rsid w:val="008575FD"/>
    <w:rsid w:val="00860885"/>
    <w:rsid w:val="008629A9"/>
    <w:rsid w:val="00862B3D"/>
    <w:rsid w:val="00863D67"/>
    <w:rsid w:val="00863ED4"/>
    <w:rsid w:val="00866678"/>
    <w:rsid w:val="0086716B"/>
    <w:rsid w:val="00870688"/>
    <w:rsid w:val="0087522E"/>
    <w:rsid w:val="008761DF"/>
    <w:rsid w:val="008845DD"/>
    <w:rsid w:val="00887D78"/>
    <w:rsid w:val="00887F02"/>
    <w:rsid w:val="00891E12"/>
    <w:rsid w:val="00893371"/>
    <w:rsid w:val="0089397D"/>
    <w:rsid w:val="008968E6"/>
    <w:rsid w:val="0089767E"/>
    <w:rsid w:val="008A060A"/>
    <w:rsid w:val="008A0A9C"/>
    <w:rsid w:val="008A170A"/>
    <w:rsid w:val="008A2870"/>
    <w:rsid w:val="008A5B04"/>
    <w:rsid w:val="008B0A52"/>
    <w:rsid w:val="008B2352"/>
    <w:rsid w:val="008B4C0F"/>
    <w:rsid w:val="008B73C6"/>
    <w:rsid w:val="008C20D8"/>
    <w:rsid w:val="008C74B3"/>
    <w:rsid w:val="008D363C"/>
    <w:rsid w:val="008D4813"/>
    <w:rsid w:val="008D59A2"/>
    <w:rsid w:val="008D5B6F"/>
    <w:rsid w:val="008E1A17"/>
    <w:rsid w:val="008E25B4"/>
    <w:rsid w:val="008E3C15"/>
    <w:rsid w:val="008E4D39"/>
    <w:rsid w:val="008F0CB0"/>
    <w:rsid w:val="008F178C"/>
    <w:rsid w:val="008F2263"/>
    <w:rsid w:val="008F2A26"/>
    <w:rsid w:val="008F3A17"/>
    <w:rsid w:val="008F4B9A"/>
    <w:rsid w:val="0090234F"/>
    <w:rsid w:val="009044E9"/>
    <w:rsid w:val="00905C0E"/>
    <w:rsid w:val="009067C7"/>
    <w:rsid w:val="0090791E"/>
    <w:rsid w:val="009119D5"/>
    <w:rsid w:val="00913AF3"/>
    <w:rsid w:val="009152BD"/>
    <w:rsid w:val="00915EBC"/>
    <w:rsid w:val="00921F4F"/>
    <w:rsid w:val="0092235D"/>
    <w:rsid w:val="00923A72"/>
    <w:rsid w:val="009243DC"/>
    <w:rsid w:val="00924F89"/>
    <w:rsid w:val="00925671"/>
    <w:rsid w:val="009260B5"/>
    <w:rsid w:val="009301C6"/>
    <w:rsid w:val="00931E23"/>
    <w:rsid w:val="009341FA"/>
    <w:rsid w:val="00934DE4"/>
    <w:rsid w:val="0093792A"/>
    <w:rsid w:val="00940EC3"/>
    <w:rsid w:val="009427EC"/>
    <w:rsid w:val="0094622D"/>
    <w:rsid w:val="00950137"/>
    <w:rsid w:val="009506EF"/>
    <w:rsid w:val="00950B41"/>
    <w:rsid w:val="00953E95"/>
    <w:rsid w:val="00956971"/>
    <w:rsid w:val="00956FCF"/>
    <w:rsid w:val="00957278"/>
    <w:rsid w:val="00957FAB"/>
    <w:rsid w:val="0096069C"/>
    <w:rsid w:val="00960BF9"/>
    <w:rsid w:val="00963CE3"/>
    <w:rsid w:val="009646EE"/>
    <w:rsid w:val="00964B2D"/>
    <w:rsid w:val="00964EBB"/>
    <w:rsid w:val="0097680C"/>
    <w:rsid w:val="00976FE0"/>
    <w:rsid w:val="0098037C"/>
    <w:rsid w:val="00981287"/>
    <w:rsid w:val="00981FFF"/>
    <w:rsid w:val="009840D5"/>
    <w:rsid w:val="00986CC8"/>
    <w:rsid w:val="00990BE8"/>
    <w:rsid w:val="0099339D"/>
    <w:rsid w:val="009A05B9"/>
    <w:rsid w:val="009A3D7B"/>
    <w:rsid w:val="009A5D46"/>
    <w:rsid w:val="009A6685"/>
    <w:rsid w:val="009A68CF"/>
    <w:rsid w:val="009C0349"/>
    <w:rsid w:val="009C2B6F"/>
    <w:rsid w:val="009C2E61"/>
    <w:rsid w:val="009C66CB"/>
    <w:rsid w:val="009D0647"/>
    <w:rsid w:val="009D1FDC"/>
    <w:rsid w:val="009D5D64"/>
    <w:rsid w:val="009E48BE"/>
    <w:rsid w:val="009E5F16"/>
    <w:rsid w:val="009E7138"/>
    <w:rsid w:val="009E7248"/>
    <w:rsid w:val="009F0CEB"/>
    <w:rsid w:val="009F18EF"/>
    <w:rsid w:val="009F7F40"/>
    <w:rsid w:val="00A01282"/>
    <w:rsid w:val="00A019A7"/>
    <w:rsid w:val="00A023AF"/>
    <w:rsid w:val="00A04EDA"/>
    <w:rsid w:val="00A07662"/>
    <w:rsid w:val="00A165EE"/>
    <w:rsid w:val="00A17D0C"/>
    <w:rsid w:val="00A20585"/>
    <w:rsid w:val="00A22FE8"/>
    <w:rsid w:val="00A23D47"/>
    <w:rsid w:val="00A248B4"/>
    <w:rsid w:val="00A2497D"/>
    <w:rsid w:val="00A27EC2"/>
    <w:rsid w:val="00A32FA2"/>
    <w:rsid w:val="00A3353E"/>
    <w:rsid w:val="00A365A9"/>
    <w:rsid w:val="00A377EB"/>
    <w:rsid w:val="00A401BD"/>
    <w:rsid w:val="00A47CA2"/>
    <w:rsid w:val="00A47FBC"/>
    <w:rsid w:val="00A514B8"/>
    <w:rsid w:val="00A547EE"/>
    <w:rsid w:val="00A56499"/>
    <w:rsid w:val="00A66BC4"/>
    <w:rsid w:val="00A670B9"/>
    <w:rsid w:val="00A67688"/>
    <w:rsid w:val="00A6779A"/>
    <w:rsid w:val="00A73244"/>
    <w:rsid w:val="00A738ED"/>
    <w:rsid w:val="00A7748B"/>
    <w:rsid w:val="00A8595E"/>
    <w:rsid w:val="00A91C62"/>
    <w:rsid w:val="00A929EF"/>
    <w:rsid w:val="00A9363A"/>
    <w:rsid w:val="00A95151"/>
    <w:rsid w:val="00A96DD0"/>
    <w:rsid w:val="00AA7A7A"/>
    <w:rsid w:val="00AB35EC"/>
    <w:rsid w:val="00AB49F8"/>
    <w:rsid w:val="00AC5568"/>
    <w:rsid w:val="00AC674B"/>
    <w:rsid w:val="00AD0375"/>
    <w:rsid w:val="00AD207D"/>
    <w:rsid w:val="00AD2628"/>
    <w:rsid w:val="00AD2815"/>
    <w:rsid w:val="00AD59BE"/>
    <w:rsid w:val="00AD6130"/>
    <w:rsid w:val="00AE162E"/>
    <w:rsid w:val="00AE1663"/>
    <w:rsid w:val="00AE1BB8"/>
    <w:rsid w:val="00AE69CF"/>
    <w:rsid w:val="00AE7081"/>
    <w:rsid w:val="00AE78CF"/>
    <w:rsid w:val="00AE7E98"/>
    <w:rsid w:val="00AF01F5"/>
    <w:rsid w:val="00AF14E7"/>
    <w:rsid w:val="00AF20A4"/>
    <w:rsid w:val="00AF5DA1"/>
    <w:rsid w:val="00B00D1D"/>
    <w:rsid w:val="00B061FC"/>
    <w:rsid w:val="00B10382"/>
    <w:rsid w:val="00B127C9"/>
    <w:rsid w:val="00B140F1"/>
    <w:rsid w:val="00B16A11"/>
    <w:rsid w:val="00B17127"/>
    <w:rsid w:val="00B20C09"/>
    <w:rsid w:val="00B27E27"/>
    <w:rsid w:val="00B33818"/>
    <w:rsid w:val="00B33DB2"/>
    <w:rsid w:val="00B34209"/>
    <w:rsid w:val="00B3461B"/>
    <w:rsid w:val="00B40204"/>
    <w:rsid w:val="00B40C2D"/>
    <w:rsid w:val="00B41072"/>
    <w:rsid w:val="00B43762"/>
    <w:rsid w:val="00B4449C"/>
    <w:rsid w:val="00B45F0E"/>
    <w:rsid w:val="00B4663C"/>
    <w:rsid w:val="00B46CBA"/>
    <w:rsid w:val="00B52655"/>
    <w:rsid w:val="00B52E09"/>
    <w:rsid w:val="00B53AA1"/>
    <w:rsid w:val="00B56378"/>
    <w:rsid w:val="00B57DA6"/>
    <w:rsid w:val="00B6045B"/>
    <w:rsid w:val="00B621C1"/>
    <w:rsid w:val="00B62E67"/>
    <w:rsid w:val="00B63F3D"/>
    <w:rsid w:val="00B63FD0"/>
    <w:rsid w:val="00B644FB"/>
    <w:rsid w:val="00B72A80"/>
    <w:rsid w:val="00B732A9"/>
    <w:rsid w:val="00B76871"/>
    <w:rsid w:val="00B77840"/>
    <w:rsid w:val="00B85EA7"/>
    <w:rsid w:val="00B91E14"/>
    <w:rsid w:val="00B922BB"/>
    <w:rsid w:val="00B93366"/>
    <w:rsid w:val="00B9636D"/>
    <w:rsid w:val="00B96C90"/>
    <w:rsid w:val="00BA0F93"/>
    <w:rsid w:val="00BA0FD7"/>
    <w:rsid w:val="00BA5F6D"/>
    <w:rsid w:val="00BB30CA"/>
    <w:rsid w:val="00BB3F1C"/>
    <w:rsid w:val="00BB4410"/>
    <w:rsid w:val="00BB44FA"/>
    <w:rsid w:val="00BB5EE7"/>
    <w:rsid w:val="00BB7415"/>
    <w:rsid w:val="00BC25DA"/>
    <w:rsid w:val="00BC4547"/>
    <w:rsid w:val="00BD0CD8"/>
    <w:rsid w:val="00BD13B8"/>
    <w:rsid w:val="00BD2106"/>
    <w:rsid w:val="00BD4CDC"/>
    <w:rsid w:val="00BD6285"/>
    <w:rsid w:val="00BD6AAC"/>
    <w:rsid w:val="00BE05B0"/>
    <w:rsid w:val="00BE0A17"/>
    <w:rsid w:val="00BE2B1A"/>
    <w:rsid w:val="00BE72EC"/>
    <w:rsid w:val="00BF39E9"/>
    <w:rsid w:val="00BF4C10"/>
    <w:rsid w:val="00BF5731"/>
    <w:rsid w:val="00BF5852"/>
    <w:rsid w:val="00C0067E"/>
    <w:rsid w:val="00C00CBE"/>
    <w:rsid w:val="00C04E52"/>
    <w:rsid w:val="00C0562A"/>
    <w:rsid w:val="00C12430"/>
    <w:rsid w:val="00C1250C"/>
    <w:rsid w:val="00C1560D"/>
    <w:rsid w:val="00C158A6"/>
    <w:rsid w:val="00C1677A"/>
    <w:rsid w:val="00C17B71"/>
    <w:rsid w:val="00C20743"/>
    <w:rsid w:val="00C20820"/>
    <w:rsid w:val="00C23F77"/>
    <w:rsid w:val="00C24FF6"/>
    <w:rsid w:val="00C31A3B"/>
    <w:rsid w:val="00C31C77"/>
    <w:rsid w:val="00C31CFF"/>
    <w:rsid w:val="00C32594"/>
    <w:rsid w:val="00C32CA7"/>
    <w:rsid w:val="00C34447"/>
    <w:rsid w:val="00C43302"/>
    <w:rsid w:val="00C45042"/>
    <w:rsid w:val="00C45C77"/>
    <w:rsid w:val="00C47B5A"/>
    <w:rsid w:val="00C52D37"/>
    <w:rsid w:val="00C560E6"/>
    <w:rsid w:val="00C56D99"/>
    <w:rsid w:val="00C57A34"/>
    <w:rsid w:val="00C63BFE"/>
    <w:rsid w:val="00C6528C"/>
    <w:rsid w:val="00C65E97"/>
    <w:rsid w:val="00C6689F"/>
    <w:rsid w:val="00C676FA"/>
    <w:rsid w:val="00C70663"/>
    <w:rsid w:val="00C7427A"/>
    <w:rsid w:val="00C806B5"/>
    <w:rsid w:val="00C8246F"/>
    <w:rsid w:val="00C83F44"/>
    <w:rsid w:val="00C87EF0"/>
    <w:rsid w:val="00C913D3"/>
    <w:rsid w:val="00C9150F"/>
    <w:rsid w:val="00C92820"/>
    <w:rsid w:val="00C9296D"/>
    <w:rsid w:val="00C9550A"/>
    <w:rsid w:val="00CA5204"/>
    <w:rsid w:val="00CA7F5A"/>
    <w:rsid w:val="00CB33D6"/>
    <w:rsid w:val="00CB5D97"/>
    <w:rsid w:val="00CB6D18"/>
    <w:rsid w:val="00CC208D"/>
    <w:rsid w:val="00CC232F"/>
    <w:rsid w:val="00CC46FE"/>
    <w:rsid w:val="00CD23F4"/>
    <w:rsid w:val="00CD3AA6"/>
    <w:rsid w:val="00CD3D08"/>
    <w:rsid w:val="00CD78B3"/>
    <w:rsid w:val="00CE2EF2"/>
    <w:rsid w:val="00CE35DC"/>
    <w:rsid w:val="00CE504E"/>
    <w:rsid w:val="00CF0E06"/>
    <w:rsid w:val="00CF4ABD"/>
    <w:rsid w:val="00CF779F"/>
    <w:rsid w:val="00D061CD"/>
    <w:rsid w:val="00D0671F"/>
    <w:rsid w:val="00D142DC"/>
    <w:rsid w:val="00D1732E"/>
    <w:rsid w:val="00D22A93"/>
    <w:rsid w:val="00D32FC1"/>
    <w:rsid w:val="00D429A7"/>
    <w:rsid w:val="00D43151"/>
    <w:rsid w:val="00D50EC1"/>
    <w:rsid w:val="00D519BA"/>
    <w:rsid w:val="00D51A5C"/>
    <w:rsid w:val="00D62602"/>
    <w:rsid w:val="00D634AF"/>
    <w:rsid w:val="00D665B3"/>
    <w:rsid w:val="00D70D30"/>
    <w:rsid w:val="00D7506A"/>
    <w:rsid w:val="00D8152F"/>
    <w:rsid w:val="00D879D4"/>
    <w:rsid w:val="00DA12E1"/>
    <w:rsid w:val="00DA3D6E"/>
    <w:rsid w:val="00DB470E"/>
    <w:rsid w:val="00DB6908"/>
    <w:rsid w:val="00DD0E5A"/>
    <w:rsid w:val="00DD5118"/>
    <w:rsid w:val="00DD756D"/>
    <w:rsid w:val="00DF01C2"/>
    <w:rsid w:val="00DF29AA"/>
    <w:rsid w:val="00DF53EA"/>
    <w:rsid w:val="00E02E5E"/>
    <w:rsid w:val="00E044ED"/>
    <w:rsid w:val="00E045BE"/>
    <w:rsid w:val="00E067F2"/>
    <w:rsid w:val="00E1180C"/>
    <w:rsid w:val="00E1324F"/>
    <w:rsid w:val="00E14757"/>
    <w:rsid w:val="00E15C8A"/>
    <w:rsid w:val="00E20C1D"/>
    <w:rsid w:val="00E22FF3"/>
    <w:rsid w:val="00E24697"/>
    <w:rsid w:val="00E24C48"/>
    <w:rsid w:val="00E25383"/>
    <w:rsid w:val="00E31D1A"/>
    <w:rsid w:val="00E366B9"/>
    <w:rsid w:val="00E374A5"/>
    <w:rsid w:val="00E410E6"/>
    <w:rsid w:val="00E46F61"/>
    <w:rsid w:val="00E524AD"/>
    <w:rsid w:val="00E55A2F"/>
    <w:rsid w:val="00E56014"/>
    <w:rsid w:val="00E56509"/>
    <w:rsid w:val="00E60100"/>
    <w:rsid w:val="00E61C8E"/>
    <w:rsid w:val="00E6318A"/>
    <w:rsid w:val="00E63261"/>
    <w:rsid w:val="00E6398E"/>
    <w:rsid w:val="00E63DB5"/>
    <w:rsid w:val="00E64188"/>
    <w:rsid w:val="00E6594D"/>
    <w:rsid w:val="00E659A3"/>
    <w:rsid w:val="00E65E18"/>
    <w:rsid w:val="00E6668C"/>
    <w:rsid w:val="00E701AA"/>
    <w:rsid w:val="00E714EE"/>
    <w:rsid w:val="00E758E0"/>
    <w:rsid w:val="00E805F4"/>
    <w:rsid w:val="00E82DB2"/>
    <w:rsid w:val="00E84F18"/>
    <w:rsid w:val="00E86C00"/>
    <w:rsid w:val="00E90DF0"/>
    <w:rsid w:val="00E92DC3"/>
    <w:rsid w:val="00E9348B"/>
    <w:rsid w:val="00E944F3"/>
    <w:rsid w:val="00EA19DC"/>
    <w:rsid w:val="00EA26A0"/>
    <w:rsid w:val="00EA5358"/>
    <w:rsid w:val="00EA6222"/>
    <w:rsid w:val="00EB510A"/>
    <w:rsid w:val="00EB6535"/>
    <w:rsid w:val="00EC1683"/>
    <w:rsid w:val="00EC3B09"/>
    <w:rsid w:val="00EC440C"/>
    <w:rsid w:val="00EC5090"/>
    <w:rsid w:val="00ED0F2A"/>
    <w:rsid w:val="00ED7307"/>
    <w:rsid w:val="00ED752B"/>
    <w:rsid w:val="00EE38CE"/>
    <w:rsid w:val="00EE4D8C"/>
    <w:rsid w:val="00EE712B"/>
    <w:rsid w:val="00EE7580"/>
    <w:rsid w:val="00EF06FD"/>
    <w:rsid w:val="00EF1DE2"/>
    <w:rsid w:val="00F003E2"/>
    <w:rsid w:val="00F0076F"/>
    <w:rsid w:val="00F07F5A"/>
    <w:rsid w:val="00F12AA5"/>
    <w:rsid w:val="00F134EA"/>
    <w:rsid w:val="00F155C2"/>
    <w:rsid w:val="00F159A7"/>
    <w:rsid w:val="00F1758E"/>
    <w:rsid w:val="00F176DA"/>
    <w:rsid w:val="00F20007"/>
    <w:rsid w:val="00F2572B"/>
    <w:rsid w:val="00F31828"/>
    <w:rsid w:val="00F37E4B"/>
    <w:rsid w:val="00F42114"/>
    <w:rsid w:val="00F46EBC"/>
    <w:rsid w:val="00F50D51"/>
    <w:rsid w:val="00F50DF5"/>
    <w:rsid w:val="00F52E07"/>
    <w:rsid w:val="00F53CF7"/>
    <w:rsid w:val="00F54B2B"/>
    <w:rsid w:val="00F60F2B"/>
    <w:rsid w:val="00F613C4"/>
    <w:rsid w:val="00F6538B"/>
    <w:rsid w:val="00F713D5"/>
    <w:rsid w:val="00F74F58"/>
    <w:rsid w:val="00F7741C"/>
    <w:rsid w:val="00F81167"/>
    <w:rsid w:val="00F8140E"/>
    <w:rsid w:val="00F828C4"/>
    <w:rsid w:val="00F83734"/>
    <w:rsid w:val="00F83A4C"/>
    <w:rsid w:val="00F8451D"/>
    <w:rsid w:val="00F85B49"/>
    <w:rsid w:val="00F9292C"/>
    <w:rsid w:val="00F946CB"/>
    <w:rsid w:val="00F96954"/>
    <w:rsid w:val="00FA084C"/>
    <w:rsid w:val="00FB0A11"/>
    <w:rsid w:val="00FB6231"/>
    <w:rsid w:val="00FB6A77"/>
    <w:rsid w:val="00FC0788"/>
    <w:rsid w:val="00FC124F"/>
    <w:rsid w:val="00FC45AC"/>
    <w:rsid w:val="00FC72FE"/>
    <w:rsid w:val="00FD0590"/>
    <w:rsid w:val="00FD1A87"/>
    <w:rsid w:val="00FE1AE8"/>
    <w:rsid w:val="00FE29AE"/>
    <w:rsid w:val="00FE3562"/>
    <w:rsid w:val="00FE3BF7"/>
    <w:rsid w:val="00FE6060"/>
    <w:rsid w:val="00FE660F"/>
    <w:rsid w:val="00FF0C57"/>
    <w:rsid w:val="00FF0F58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539464B"/>
  <w15:chartTrackingRefBased/>
  <w15:docId w15:val="{5283F063-77F9-4A6E-9EFD-F4235A8D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sv-SE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243DC"/>
    <w:pPr>
      <w:tabs>
        <w:tab w:val="left" w:pos="2608"/>
        <w:tab w:val="left" w:pos="3912"/>
      </w:tabs>
    </w:pPr>
    <w:rPr>
      <w:rFonts w:ascii="Arial" w:hAnsi="Arial"/>
      <w:sz w:val="21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bCs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9F18EF"/>
    <w:pPr>
      <w:tabs>
        <w:tab w:val="center" w:pos="4819"/>
        <w:tab w:val="right" w:pos="9638"/>
      </w:tabs>
    </w:p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b/>
      <w:kern w:val="28"/>
      <w:sz w:val="22"/>
      <w:szCs w:val="52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character" w:styleId="Hyperlinkki">
    <w:name w:val="Hyperlink"/>
    <w:unhideWhenUsed/>
    <w:rsid w:val="00065645"/>
    <w:rPr>
      <w:color w:val="0563C1"/>
      <w:u w:val="single"/>
    </w:rPr>
  </w:style>
  <w:style w:type="character" w:customStyle="1" w:styleId="ms-tablecell">
    <w:name w:val="ms-tablecell"/>
    <w:rsid w:val="00065645"/>
  </w:style>
  <w:style w:type="paragraph" w:customStyle="1" w:styleId="VNKNormaaliSisentmtn">
    <w:name w:val="VNK_Normaali_Sisentämätön"/>
    <w:rsid w:val="00A8595E"/>
    <w:rPr>
      <w:rFonts w:ascii="Tahoma" w:hAnsi="Tahoma"/>
      <w:sz w:val="22"/>
    </w:rPr>
  </w:style>
  <w:style w:type="paragraph" w:styleId="Luettelokappale">
    <w:name w:val="List Paragraph"/>
    <w:basedOn w:val="Normaali"/>
    <w:uiPriority w:val="34"/>
    <w:qFormat/>
    <w:rsid w:val="00E22FF3"/>
    <w:pPr>
      <w:tabs>
        <w:tab w:val="clear" w:pos="2608"/>
        <w:tab w:val="clear" w:pos="3912"/>
      </w:tabs>
      <w:ind w:left="720"/>
      <w:contextualSpacing/>
    </w:pPr>
    <w:rPr>
      <w:rFonts w:ascii="Times New Roman" w:hAnsi="Times New Roman"/>
      <w:sz w:val="24"/>
    </w:rPr>
  </w:style>
  <w:style w:type="paragraph" w:customStyle="1" w:styleId="Default">
    <w:name w:val="Default"/>
    <w:rsid w:val="00B40C2D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032E20"/>
    <w:rPr>
      <w:sz w:val="20"/>
    </w:rPr>
  </w:style>
  <w:style w:type="character" w:customStyle="1" w:styleId="AlaviitteentekstiChar">
    <w:name w:val="Alaviitteen teksti Char"/>
    <w:link w:val="Alaviitteenteksti"/>
    <w:uiPriority w:val="99"/>
    <w:semiHidden/>
    <w:rsid w:val="00032E20"/>
    <w:rPr>
      <w:rFonts w:ascii="Arial" w:hAnsi="Arial"/>
    </w:rPr>
  </w:style>
  <w:style w:type="character" w:styleId="Alaviitteenviite">
    <w:name w:val="footnote reference"/>
    <w:uiPriority w:val="99"/>
    <w:semiHidden/>
    <w:unhideWhenUsed/>
    <w:rsid w:val="00032E20"/>
    <w:rPr>
      <w:vertAlign w:val="superscript"/>
    </w:rPr>
  </w:style>
  <w:style w:type="paragraph" w:customStyle="1" w:styleId="LLPerustelujenkappalejako">
    <w:name w:val="LLPerustelujenkappalejako"/>
    <w:rsid w:val="00FE3BF7"/>
    <w:pPr>
      <w:spacing w:after="220" w:line="220" w:lineRule="exact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0562CD"/>
    <w:pPr>
      <w:spacing w:line="220" w:lineRule="exact"/>
      <w:ind w:firstLine="170"/>
      <w:jc w:val="both"/>
    </w:pPr>
    <w:rPr>
      <w:sz w:val="22"/>
      <w:szCs w:val="24"/>
    </w:rPr>
  </w:style>
  <w:style w:type="paragraph" w:styleId="Vaintekstin">
    <w:name w:val="Plain Text"/>
    <w:basedOn w:val="Normaali"/>
    <w:link w:val="VaintekstinChar"/>
    <w:uiPriority w:val="99"/>
    <w:unhideWhenUsed/>
    <w:rsid w:val="00B922BB"/>
    <w:pPr>
      <w:tabs>
        <w:tab w:val="clear" w:pos="2608"/>
        <w:tab w:val="clear" w:pos="3912"/>
      </w:tabs>
    </w:pPr>
    <w:rPr>
      <w:rFonts w:ascii="Calibri" w:eastAsia="Calibri" w:hAnsi="Calibri"/>
      <w:sz w:val="22"/>
      <w:szCs w:val="21"/>
    </w:rPr>
  </w:style>
  <w:style w:type="character" w:customStyle="1" w:styleId="VaintekstinChar">
    <w:name w:val="Vain tekstinä Char"/>
    <w:link w:val="Vaintekstin"/>
    <w:uiPriority w:val="99"/>
    <w:rsid w:val="00B922BB"/>
    <w:rPr>
      <w:rFonts w:ascii="Calibri" w:eastAsia="Calibri" w:hAnsi="Calibri"/>
      <w:sz w:val="22"/>
      <w:szCs w:val="2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1982\AppData\Roaming\Microsoft\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85AF07F20F4F104488091AD7A78F04EF" ma:contentTypeVersion="3" ma:contentTypeDescription="Kampus asiakirja" ma:contentTypeScope="" ma:versionID="ae988ff5d8a9beddd35a0dbce6e84463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b4b1fc4b30a15004c3b732af0b1be5ba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585d17e-aed7-41aa-a00a-f84b24c0d0dd}" ma:internalName="TaxCatchAll" ma:showField="CatchAllData" ma:web="2de13255-adde-45dc-a723-e799e5d466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585d17e-aed7-41aa-a00a-f84b24c0d0dd}" ma:internalName="TaxCatchAllLabel" ma:readOnly="true" ma:showField="CatchAllDataLabel" ma:web="2de13255-adde-45dc-a723-e799e5d466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317D7-3938-4379-BDBD-92BEE76AD5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A4FC6-4F21-45C6-B2E3-073FBA155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9E6B37-82BF-410D-843F-E6694F06EDD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A2B587D-E0DB-4532-9129-EED0BD586BE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7FD4D13-9E02-4E36-926B-D5A758F27213}">
  <ds:schemaRefs>
    <ds:schemaRef ds:uri="c138b538-c2fd-4cca-8c26-6e4e32e5a04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FB5B5480-1175-4713-90E7-F9011867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5</TotalTime>
  <Pages>5</Pages>
  <Words>1253</Words>
  <Characters>10151</Characters>
  <Application>Microsoft Office Word</Application>
  <DocSecurity>0</DocSecurity>
  <Lines>84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TEM -asiakirjamalli</vt:lpstr>
    </vt:vector>
  </TitlesOfParts>
  <Company>TEM</Company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-asiakirjamalli</dc:title>
  <dc:subject>Tweb asiakirjamalli</dc:subject>
  <dc:creator>Pixelpress Oy / Juha Vilkki</dc:creator>
  <cp:keywords/>
  <dc:description>Pixelpress</dc:description>
  <cp:lastModifiedBy>Skräddar Katarina</cp:lastModifiedBy>
  <cp:revision>11</cp:revision>
  <cp:lastPrinted>2019-10-24T08:07:00Z</cp:lastPrinted>
  <dcterms:created xsi:type="dcterms:W3CDTF">2019-10-24T09:47:00Z</dcterms:created>
  <dcterms:modified xsi:type="dcterms:W3CDTF">2019-10-24T09:51:00Z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Jäsenesitys Digi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Pennanen Merja</vt:lpwstr>
  </property>
  <property fmtid="{D5CDD505-2E9C-101B-9397-08002B2CF9AE}" pid="10" name="tweb_doc_publisher">
    <vt:lpwstr>Työ- ja elinkeinoministeriö/Alueet ja kasvupalvelut -osasto/Esikunta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/>
  </property>
  <property fmtid="{D5CDD505-2E9C-101B-9397-08002B2CF9AE}" pid="14" name="tweb_doc_description">
    <vt:lpwstr/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12.04.2018</vt:lpwstr>
  </property>
  <property fmtid="{D5CDD505-2E9C-101B-9397-08002B2CF9AE}" pid="18" name="tweb_doc_modified">
    <vt:lpwstr>12.04.2018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>Mahti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515717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1</vt:lpwstr>
  </property>
  <property fmtid="{D5CDD505-2E9C-101B-9397-08002B2CF9AE}" pid="37" name="tweb_user_name">
    <vt:lpwstr>Pennanen Merja</vt:lpwstr>
  </property>
  <property fmtid="{D5CDD505-2E9C-101B-9397-08002B2CF9AE}" pid="38" name="tweb_user_surname">
    <vt:lpwstr>Pennanen</vt:lpwstr>
  </property>
  <property fmtid="{D5CDD505-2E9C-101B-9397-08002B2CF9AE}" pid="39" name="tweb_user_givenname">
    <vt:lpwstr>Merja</vt:lpwstr>
  </property>
  <property fmtid="{D5CDD505-2E9C-101B-9397-08002B2CF9AE}" pid="40" name="tweb_user_title">
    <vt:lpwstr>Suunnittelija</vt:lpwstr>
  </property>
  <property fmtid="{D5CDD505-2E9C-101B-9397-08002B2CF9AE}" pid="41" name="tweb_user_telephonenumber">
    <vt:lpwstr>+358 29 50 64939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merja.pennanen@tem.fi</vt:lpwstr>
  </property>
  <property fmtid="{D5CDD505-2E9C-101B-9397-08002B2CF9AE}" pid="44" name="tweb_user_roomnumber">
    <vt:lpwstr/>
  </property>
  <property fmtid="{D5CDD505-2E9C-101B-9397-08002B2CF9AE}" pid="45" name="tweb_user_organization">
    <vt:lpwstr>Työ- ja elinkeinoministeriö</vt:lpwstr>
  </property>
  <property fmtid="{D5CDD505-2E9C-101B-9397-08002B2CF9AE}" pid="46" name="tweb_user_department">
    <vt:lpwstr>Alueet ja kasvupalvelut -osasto</vt:lpwstr>
  </property>
  <property fmtid="{D5CDD505-2E9C-101B-9397-08002B2CF9AE}" pid="47" name="tweb_user_group">
    <vt:lpwstr>Esikunta</vt:lpwstr>
  </property>
  <property fmtid="{D5CDD505-2E9C-101B-9397-08002B2CF9AE}" pid="48" name="tweb_user_postaladdress">
    <vt:lpwstr>PL 32</vt:lpwstr>
  </property>
  <property fmtid="{D5CDD505-2E9C-101B-9397-08002B2CF9AE}" pid="49" name="tweb_user_postalcode">
    <vt:lpwstr>00023 VALTIONEUVOSTO</vt:lpwstr>
  </property>
  <property fmtid="{D5CDD505-2E9C-101B-9397-08002B2CF9AE}" pid="50" name="tweb_doc_identifier">
    <vt:lpwstr/>
  </property>
  <property fmtid="{D5CDD505-2E9C-101B-9397-08002B2CF9AE}" pid="51" name="tweb_doc_typename">
    <vt:lpwstr>Aloite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/>
  </property>
  <property fmtid="{D5CDD505-2E9C-101B-9397-08002B2CF9AE}" pid="70" name="tweb_doc_solver">
    <vt:lpwstr/>
  </property>
  <property fmtid="{D5CDD505-2E9C-101B-9397-08002B2CF9AE}" pid="71" name="tweb_doc_otherid">
    <vt:lpwstr/>
  </property>
  <property fmtid="{D5CDD505-2E9C-101B-9397-08002B2CF9AE}" pid="72" name="tweb_doc_deadline">
    <vt:lpwstr/>
  </property>
  <property fmtid="{D5CDD505-2E9C-101B-9397-08002B2CF9AE}" pid="73" name="tweb_doc_mamiversion">
    <vt:lpwstr/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/>
  </property>
  <property fmtid="{D5CDD505-2E9C-101B-9397-08002B2CF9AE}" pid="78" name="tweb_doc_eoperators">
    <vt:lpwstr/>
  </property>
  <property fmtid="{D5CDD505-2E9C-101B-9397-08002B2CF9AE}" pid="79" name="tweb_doc_typecode">
    <vt:lpwstr>9999.1</vt:lpwstr>
  </property>
  <property fmtid="{D5CDD505-2E9C-101B-9397-08002B2CF9AE}" pid="80" name="tweb_doc_xsubjectlist">
    <vt:lpwstr/>
  </property>
  <property fmtid="{D5CDD505-2E9C-101B-9397-08002B2CF9AE}" pid="81" name="tweb_doc_owner">
    <vt:lpwstr>Pennanen Merja</vt:lpwstr>
  </property>
  <property fmtid="{D5CDD505-2E9C-101B-9397-08002B2CF9AE}" pid="82" name="tweb_doc_securityperiodstart">
    <vt:lpwstr/>
  </property>
  <property fmtid="{D5CDD505-2E9C-101B-9397-08002B2CF9AE}" pid="83" name="TwebKey">
    <vt:lpwstr>037335f343e7dba24af2d78e1971d7#tem.mahti2.vn.fi!/TWeb/toaxfront!80!0</vt:lpwstr>
  </property>
  <property fmtid="{D5CDD505-2E9C-101B-9397-08002B2CF9AE}" pid="84" name="tweb_doc_alternativetitle">
    <vt:lpwstr/>
  </property>
  <property fmtid="{D5CDD505-2E9C-101B-9397-08002B2CF9AE}" pid="85" name="KampusKeywords">
    <vt:lpwstr/>
  </property>
  <property fmtid="{D5CDD505-2E9C-101B-9397-08002B2CF9AE}" pid="86" name="KampusOrganization">
    <vt:lpwstr/>
  </property>
</Properties>
</file>