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F32A5" w14:textId="6FF6D849" w:rsidR="000853D2" w:rsidRPr="00FE6E36" w:rsidRDefault="1E290AE8" w:rsidP="1E290AE8">
      <w:pPr>
        <w:pStyle w:val="VMNormaaliSisentmtn"/>
        <w:rPr>
          <w:b/>
          <w:bCs/>
          <w:sz w:val="26"/>
          <w:szCs w:val="26"/>
        </w:rPr>
      </w:pPr>
      <w:bookmarkStart w:id="0" w:name="_GoBack"/>
      <w:bookmarkEnd w:id="0"/>
      <w:r w:rsidRPr="1E290AE8">
        <w:rPr>
          <w:b/>
          <w:bCs/>
          <w:sz w:val="26"/>
          <w:szCs w:val="26"/>
        </w:rPr>
        <w:t>TUKI SUOMEN ELPYMIS- JA PALAUTUMISSUUNNITELMAN MUKAISIIN ENERGIAINVESTOINTEIHIN</w:t>
      </w:r>
    </w:p>
    <w:p w14:paraId="6BD44E0C" w14:textId="77777777" w:rsidR="003C3B45" w:rsidRPr="003C3B45" w:rsidRDefault="003C3B45" w:rsidP="003C3B45">
      <w:pPr>
        <w:pStyle w:val="VMNormaaliSisentmtn"/>
        <w:rPr>
          <w:b/>
          <w:sz w:val="26"/>
          <w:szCs w:val="26"/>
        </w:rPr>
      </w:pPr>
    </w:p>
    <w:p w14:paraId="1E44F637" w14:textId="7B999875" w:rsidR="005B2D10" w:rsidRDefault="1E290AE8" w:rsidP="1E290AE8">
      <w:pPr>
        <w:pStyle w:val="VMNormaaliSisentmtn"/>
        <w:rPr>
          <w:b/>
          <w:bCs/>
          <w:sz w:val="26"/>
          <w:szCs w:val="26"/>
        </w:rPr>
        <w:sectPr w:rsidR="005B2D10" w:rsidSect="007A73FB">
          <w:headerReference w:type="default" r:id="rId12"/>
          <w:footerReference w:type="default" r:id="rId13"/>
          <w:headerReference w:type="first" r:id="rId14"/>
          <w:pgSz w:w="11906" w:h="16838"/>
          <w:pgMar w:top="567" w:right="1134" w:bottom="851" w:left="1134" w:header="3969" w:footer="970" w:gutter="0"/>
          <w:cols w:space="708"/>
          <w:titlePg/>
          <w:docGrid w:linePitch="326"/>
        </w:sectPr>
      </w:pPr>
      <w:r w:rsidRPr="1E290AE8">
        <w:rPr>
          <w:b/>
          <w:bCs/>
          <w:sz w:val="26"/>
          <w:szCs w:val="26"/>
        </w:rPr>
        <w:t xml:space="preserve">HAKUOHJEET </w:t>
      </w:r>
      <w:r w:rsidR="00792B86">
        <w:rPr>
          <w:b/>
          <w:bCs/>
          <w:sz w:val="26"/>
          <w:szCs w:val="26"/>
        </w:rPr>
        <w:t>2024</w:t>
      </w:r>
    </w:p>
    <w:p w14:paraId="26509C79" w14:textId="2FF62BA8" w:rsidR="00A34654" w:rsidRPr="00035C43" w:rsidRDefault="6F62490B" w:rsidP="6F62490B">
      <w:pPr>
        <w:pStyle w:val="VMNormaaliSisentmtn"/>
        <w:rPr>
          <w:b/>
          <w:bCs/>
        </w:rPr>
      </w:pPr>
      <w:r w:rsidRPr="6F62490B">
        <w:rPr>
          <w:b/>
          <w:bCs/>
        </w:rPr>
        <w:lastRenderedPageBreak/>
        <w:t>Versiohistoria</w:t>
      </w:r>
    </w:p>
    <w:p w14:paraId="56A20DFC" w14:textId="77777777" w:rsidR="00AF5E1B" w:rsidRPr="008A432D" w:rsidRDefault="00AF5E1B" w:rsidP="00AF5E1B">
      <w:pPr>
        <w:pStyle w:val="VMNormaaliSisentmtn"/>
        <w:rPr>
          <w:b/>
        </w:rPr>
      </w:pPr>
    </w:p>
    <w:tbl>
      <w:tblPr>
        <w:tblStyle w:val="TableGrid"/>
        <w:tblW w:w="0" w:type="auto"/>
        <w:tblLook w:val="04A0" w:firstRow="1" w:lastRow="0" w:firstColumn="1" w:lastColumn="0" w:noHBand="0" w:noVBand="1"/>
        <w:tblCaption w:val="Taulukko"/>
        <w:tblDescription w:val="Keskeisimmät versiomuutokset"/>
      </w:tblPr>
      <w:tblGrid>
        <w:gridCol w:w="1260"/>
        <w:gridCol w:w="1296"/>
        <w:gridCol w:w="7072"/>
      </w:tblGrid>
      <w:tr w:rsidR="000B1543" w:rsidRPr="008A432D" w14:paraId="4D2F4923" w14:textId="77777777" w:rsidTr="75178BE2">
        <w:trPr>
          <w:trHeight w:val="795"/>
        </w:trPr>
        <w:tc>
          <w:tcPr>
            <w:tcW w:w="1271" w:type="dxa"/>
          </w:tcPr>
          <w:p w14:paraId="111F36D0" w14:textId="7F6B2AF1" w:rsidR="000B1543" w:rsidRPr="00035C43" w:rsidRDefault="1E290AE8" w:rsidP="1E290AE8">
            <w:pPr>
              <w:pStyle w:val="VMNormaaliSisentmtn"/>
              <w:rPr>
                <w:b/>
                <w:bCs/>
              </w:rPr>
            </w:pPr>
            <w:r w:rsidRPr="1E290AE8">
              <w:rPr>
                <w:b/>
                <w:bCs/>
              </w:rPr>
              <w:t>Version        numero</w:t>
            </w:r>
          </w:p>
        </w:tc>
        <w:tc>
          <w:tcPr>
            <w:tcW w:w="1153" w:type="dxa"/>
          </w:tcPr>
          <w:p w14:paraId="75868B32" w14:textId="6DD8B38C" w:rsidR="000B1543" w:rsidRPr="00035C43" w:rsidRDefault="1E290AE8" w:rsidP="1E290AE8">
            <w:pPr>
              <w:pStyle w:val="VMNormaaliSisentmtn"/>
              <w:rPr>
                <w:b/>
                <w:bCs/>
              </w:rPr>
            </w:pPr>
            <w:r w:rsidRPr="1E290AE8">
              <w:rPr>
                <w:b/>
                <w:bCs/>
              </w:rPr>
              <w:t>Pvm</w:t>
            </w:r>
          </w:p>
        </w:tc>
        <w:tc>
          <w:tcPr>
            <w:tcW w:w="7204" w:type="dxa"/>
          </w:tcPr>
          <w:p w14:paraId="459701DD" w14:textId="73E2A027" w:rsidR="000B1543" w:rsidRPr="00035C43" w:rsidRDefault="1E290AE8" w:rsidP="1E290AE8">
            <w:pPr>
              <w:pStyle w:val="VMNormaaliSisentmtn"/>
              <w:rPr>
                <w:b/>
                <w:bCs/>
              </w:rPr>
            </w:pPr>
            <w:r w:rsidRPr="1E290AE8">
              <w:rPr>
                <w:b/>
                <w:bCs/>
              </w:rPr>
              <w:t>Keskeisimmät muutokset</w:t>
            </w:r>
          </w:p>
        </w:tc>
      </w:tr>
      <w:tr w:rsidR="000B1543" w:rsidRPr="008A432D" w14:paraId="3EB212C9" w14:textId="77777777" w:rsidTr="75178BE2">
        <w:tc>
          <w:tcPr>
            <w:tcW w:w="1271" w:type="dxa"/>
          </w:tcPr>
          <w:p w14:paraId="2A1592FE" w14:textId="5465A0D5" w:rsidR="000B1543" w:rsidRPr="008A432D" w:rsidRDefault="6F62490B" w:rsidP="6B5AC2E7">
            <w:pPr>
              <w:pStyle w:val="VMNormaaliSisentmtn"/>
              <w:rPr>
                <w:szCs w:val="24"/>
              </w:rPr>
            </w:pPr>
            <w:r>
              <w:t>1.0</w:t>
            </w:r>
          </w:p>
        </w:tc>
        <w:tc>
          <w:tcPr>
            <w:tcW w:w="1153" w:type="dxa"/>
          </w:tcPr>
          <w:p w14:paraId="18B4D47F" w14:textId="7E6DF292" w:rsidR="000B1543" w:rsidRPr="008A432D" w:rsidRDefault="6F62490B" w:rsidP="6B5AC2E7">
            <w:pPr>
              <w:pStyle w:val="VMNormaaliSisentmtn"/>
              <w:rPr>
                <w:szCs w:val="24"/>
              </w:rPr>
            </w:pPr>
            <w:r>
              <w:t>20.12.2021</w:t>
            </w:r>
          </w:p>
        </w:tc>
        <w:tc>
          <w:tcPr>
            <w:tcW w:w="7204" w:type="dxa"/>
          </w:tcPr>
          <w:p w14:paraId="6C48C4C8" w14:textId="636FDDD0" w:rsidR="000B1543" w:rsidRPr="008A432D" w:rsidRDefault="1E290AE8" w:rsidP="6B5AC2E7">
            <w:pPr>
              <w:pStyle w:val="VMNormaaliSisentmtn"/>
              <w:rPr>
                <w:szCs w:val="24"/>
              </w:rPr>
            </w:pPr>
            <w:r>
              <w:t>Ensimmäinen julkaistu versio.</w:t>
            </w:r>
          </w:p>
        </w:tc>
      </w:tr>
      <w:tr w:rsidR="000B1543" w:rsidRPr="00AF5E1B" w14:paraId="55518FCF" w14:textId="77777777" w:rsidTr="75178BE2">
        <w:trPr>
          <w:trHeight w:val="325"/>
        </w:trPr>
        <w:tc>
          <w:tcPr>
            <w:tcW w:w="1271" w:type="dxa"/>
          </w:tcPr>
          <w:p w14:paraId="264D0D99" w14:textId="46DE5F2B" w:rsidR="000B1543" w:rsidRPr="008A432D" w:rsidRDefault="6F62490B" w:rsidP="6B5AC2E7">
            <w:pPr>
              <w:pStyle w:val="VMNormaaliSisentmtn"/>
              <w:rPr>
                <w:szCs w:val="24"/>
              </w:rPr>
            </w:pPr>
            <w:r>
              <w:t>2.0</w:t>
            </w:r>
          </w:p>
        </w:tc>
        <w:tc>
          <w:tcPr>
            <w:tcW w:w="1153" w:type="dxa"/>
          </w:tcPr>
          <w:p w14:paraId="750F60CC" w14:textId="53A00E45" w:rsidR="000B1543" w:rsidRPr="008A432D" w:rsidRDefault="6F62490B" w:rsidP="6B5AC2E7">
            <w:pPr>
              <w:pStyle w:val="VMNormaaliSisentmtn"/>
              <w:rPr>
                <w:szCs w:val="24"/>
              </w:rPr>
            </w:pPr>
            <w:r>
              <w:t>8.2.2022</w:t>
            </w:r>
          </w:p>
        </w:tc>
        <w:tc>
          <w:tcPr>
            <w:tcW w:w="7204" w:type="dxa"/>
          </w:tcPr>
          <w:p w14:paraId="6A01777B" w14:textId="63AB693A" w:rsidR="000B1543" w:rsidRPr="00AF5E1B" w:rsidRDefault="6F62490B" w:rsidP="6B5AC2E7">
            <w:pPr>
              <w:pStyle w:val="VMNormaaliSisentmtn"/>
              <w:rPr>
                <w:szCs w:val="24"/>
              </w:rPr>
            </w:pPr>
            <w:r>
              <w:t>Lisätty kirjaukset alkuperätakuusta, viittaus täytäntöönpanopäätökseen, tukitoimialakoodit, viittaus asetuksen (EU) 2020/852 17 artiklaan ("ei merkittävää haittaa" -periaate), tarkennettu vaatimuksia koskien päästökauppalainsäädännön piiriin  kuuluvia laitoksia</w:t>
            </w:r>
          </w:p>
        </w:tc>
      </w:tr>
      <w:tr w:rsidR="00B3080C" w:rsidRPr="00AF5E1B" w14:paraId="34C50963" w14:textId="77777777" w:rsidTr="75178BE2">
        <w:trPr>
          <w:trHeight w:val="325"/>
        </w:trPr>
        <w:tc>
          <w:tcPr>
            <w:tcW w:w="1271" w:type="dxa"/>
          </w:tcPr>
          <w:p w14:paraId="6F9F02FA" w14:textId="23BDFFDF" w:rsidR="00B3080C" w:rsidRPr="008A432D" w:rsidRDefault="6F62490B" w:rsidP="6B5AC2E7">
            <w:pPr>
              <w:pStyle w:val="VMNormaaliSisentmtn"/>
              <w:rPr>
                <w:szCs w:val="24"/>
              </w:rPr>
            </w:pPr>
            <w:r>
              <w:t>3.0</w:t>
            </w:r>
          </w:p>
        </w:tc>
        <w:tc>
          <w:tcPr>
            <w:tcW w:w="1153" w:type="dxa"/>
          </w:tcPr>
          <w:p w14:paraId="42421FF0" w14:textId="34AE1F72" w:rsidR="00B3080C" w:rsidRPr="00035C43" w:rsidRDefault="6F62490B" w:rsidP="6F62490B">
            <w:pPr>
              <w:pStyle w:val="VMNormaaliSisentmtn"/>
              <w:rPr>
                <w:highlight w:val="yellow"/>
              </w:rPr>
            </w:pPr>
            <w:r>
              <w:t>10.3.2023</w:t>
            </w:r>
          </w:p>
        </w:tc>
        <w:tc>
          <w:tcPr>
            <w:tcW w:w="7204" w:type="dxa"/>
          </w:tcPr>
          <w:p w14:paraId="7DD02269" w14:textId="6766ABC8" w:rsidR="00EA39C1" w:rsidRPr="00035C43" w:rsidRDefault="1E290AE8">
            <w:pPr>
              <w:pStyle w:val="VMNormaaliSisentmtn"/>
            </w:pPr>
            <w:r>
              <w:t>Hakuohje päivitetty vastaamaan vuonna 2023 järjestettäviä hakuja. Oleellisin ero ensimmäiseen hakukierrokseen on se, että haut avataan ainoastaan energiainfrastruktuuria ja teollisuuden sähköistämistä koskeville toimenpiteille. Sähköistämishankkeissa hankkeiden kokorajaa on muutettu, jolloin tukiviranomaisena toimii myös Business Finland. Lisäksi ohjeesta on korjattu yksittäisiä kirjoitusvirheitä.</w:t>
            </w:r>
          </w:p>
        </w:tc>
      </w:tr>
      <w:tr w:rsidR="00EA39C1" w:rsidRPr="00AF5E1B" w14:paraId="35C1A529" w14:textId="77777777" w:rsidTr="75178BE2">
        <w:trPr>
          <w:trHeight w:val="325"/>
        </w:trPr>
        <w:tc>
          <w:tcPr>
            <w:tcW w:w="1271" w:type="dxa"/>
          </w:tcPr>
          <w:p w14:paraId="16AF2531" w14:textId="6A157F78" w:rsidR="00EA39C1" w:rsidRPr="00393D20" w:rsidRDefault="6F62490B" w:rsidP="6B5AC2E7">
            <w:pPr>
              <w:pStyle w:val="VMNormaaliSisentmtn"/>
            </w:pPr>
            <w:r>
              <w:t>4.0.</w:t>
            </w:r>
          </w:p>
        </w:tc>
        <w:tc>
          <w:tcPr>
            <w:tcW w:w="1153" w:type="dxa"/>
          </w:tcPr>
          <w:p w14:paraId="58328E68" w14:textId="076B2A8B" w:rsidR="00EA39C1" w:rsidRPr="00200E2D" w:rsidRDefault="00EB7448" w:rsidP="00200E2D">
            <w:pPr>
              <w:pStyle w:val="VMNormaaliSisentmtn"/>
            </w:pPr>
            <w:r w:rsidRPr="00200E2D">
              <w:t>1</w:t>
            </w:r>
            <w:r w:rsidR="00200E2D" w:rsidRPr="00200E2D">
              <w:t>2</w:t>
            </w:r>
            <w:r w:rsidR="6F62490B" w:rsidRPr="00200E2D">
              <w:t>.10.2023</w:t>
            </w:r>
          </w:p>
        </w:tc>
        <w:tc>
          <w:tcPr>
            <w:tcW w:w="7204" w:type="dxa"/>
          </w:tcPr>
          <w:p w14:paraId="268E222B" w14:textId="6C6CB04A" w:rsidR="00EA39C1" w:rsidRDefault="1E290AE8">
            <w:pPr>
              <w:pStyle w:val="VMNormaaliSisentmtn"/>
            </w:pPr>
            <w:r>
              <w:t xml:space="preserve">Hakuohje päivitetty kolmannetta hakua varten. Oleellisin ero aikaisempiin hakukierroksiin on se, että haut avataan ainoastaan teollisuuden sähköistämistä koskeville toimenpiteille. </w:t>
            </w:r>
          </w:p>
        </w:tc>
      </w:tr>
      <w:tr w:rsidR="001D1C01" w:rsidRPr="00AF5E1B" w14:paraId="415A79B4" w14:textId="77777777" w:rsidTr="75178BE2">
        <w:trPr>
          <w:trHeight w:val="325"/>
        </w:trPr>
        <w:tc>
          <w:tcPr>
            <w:tcW w:w="1271" w:type="dxa"/>
          </w:tcPr>
          <w:p w14:paraId="2285CEF8" w14:textId="2C81B4F4" w:rsidR="001D1C01" w:rsidRDefault="001D1C01" w:rsidP="6B5AC2E7">
            <w:pPr>
              <w:pStyle w:val="VMNormaaliSisentmtn"/>
            </w:pPr>
            <w:r>
              <w:t>5.0</w:t>
            </w:r>
          </w:p>
        </w:tc>
        <w:tc>
          <w:tcPr>
            <w:tcW w:w="1153" w:type="dxa"/>
          </w:tcPr>
          <w:p w14:paraId="0261C076" w14:textId="730D3156" w:rsidR="001D1C01" w:rsidRPr="00200E2D" w:rsidRDefault="75178BE2" w:rsidP="00200E2D">
            <w:pPr>
              <w:pStyle w:val="VMNormaaliSisentmtn"/>
            </w:pPr>
            <w:r>
              <w:t>2</w:t>
            </w:r>
            <w:r w:rsidR="00FC01A9">
              <w:t>6</w:t>
            </w:r>
            <w:r>
              <w:t>.1.2024</w:t>
            </w:r>
          </w:p>
        </w:tc>
        <w:tc>
          <w:tcPr>
            <w:tcW w:w="7204" w:type="dxa"/>
          </w:tcPr>
          <w:p w14:paraId="7B212377" w14:textId="78E5EFB9" w:rsidR="001D1C01" w:rsidRDefault="001D1C01">
            <w:pPr>
              <w:pStyle w:val="VMNormaaliSisentmtn"/>
            </w:pPr>
            <w:r>
              <w:t xml:space="preserve">Hakuohje päivitetty </w:t>
            </w:r>
            <w:r w:rsidR="00FC01A9">
              <w:t xml:space="preserve">RRP-suunnitelmaan </w:t>
            </w:r>
            <w:r>
              <w:t xml:space="preserve">lisätyn REPowerEU-luvun mukaista hakua varten. Oleellisin ero aikaisempiin hakukierroksiin on se, että haku avataan ainoastaan REPowerEU-luvun mukaisille hankkeille. </w:t>
            </w:r>
          </w:p>
        </w:tc>
      </w:tr>
      <w:tr w:rsidR="00593F6B" w:rsidRPr="00AF5E1B" w14:paraId="1B2D6307" w14:textId="77777777" w:rsidTr="75178BE2">
        <w:trPr>
          <w:trHeight w:val="325"/>
        </w:trPr>
        <w:tc>
          <w:tcPr>
            <w:tcW w:w="1271" w:type="dxa"/>
          </w:tcPr>
          <w:p w14:paraId="7E6928DD" w14:textId="64991102" w:rsidR="00593F6B" w:rsidRDefault="00593F6B" w:rsidP="6B5AC2E7">
            <w:pPr>
              <w:pStyle w:val="VMNormaaliSisentmtn"/>
            </w:pPr>
            <w:r>
              <w:t>6.0.</w:t>
            </w:r>
          </w:p>
        </w:tc>
        <w:tc>
          <w:tcPr>
            <w:tcW w:w="1153" w:type="dxa"/>
          </w:tcPr>
          <w:p w14:paraId="235193FB" w14:textId="39AC1B22" w:rsidR="00593F6B" w:rsidRDefault="00792B86" w:rsidP="00200E2D">
            <w:pPr>
              <w:pStyle w:val="VMNormaaliSisentmtn"/>
            </w:pPr>
            <w:r>
              <w:t>26.3</w:t>
            </w:r>
            <w:r w:rsidR="00593F6B">
              <w:t>.2024</w:t>
            </w:r>
          </w:p>
        </w:tc>
        <w:tc>
          <w:tcPr>
            <w:tcW w:w="7204" w:type="dxa"/>
          </w:tcPr>
          <w:p w14:paraId="0BA6DB07" w14:textId="24307324" w:rsidR="00593F6B" w:rsidRDefault="00593F6B">
            <w:pPr>
              <w:pStyle w:val="VMNormaaliSisentmtn"/>
            </w:pPr>
            <w:r>
              <w:t xml:space="preserve">Hakuohje päivitetty ylimääräistä energiainfrastruktuurihankkeiden hakua varten. Oleellisin ero aikaisempiin hakukierroksiin on se, että haku avataan ainoastaan RRF-ohjelman mukaisille energiainfrastruktuuri hankkeille. </w:t>
            </w:r>
          </w:p>
        </w:tc>
      </w:tr>
    </w:tbl>
    <w:p w14:paraId="321FB8C2" w14:textId="77777777" w:rsidR="006B7FCE" w:rsidRPr="00CB68C9" w:rsidRDefault="006B7FCE" w:rsidP="007B47D7">
      <w:pPr>
        <w:pStyle w:val="VMleipteksti"/>
        <w:sectPr w:rsidR="006B7FCE" w:rsidRPr="00CB68C9" w:rsidSect="007A73FB">
          <w:pgSz w:w="11906" w:h="16838"/>
          <w:pgMar w:top="567" w:right="1134" w:bottom="851" w:left="1134" w:header="3969" w:footer="970" w:gutter="0"/>
          <w:cols w:space="708"/>
          <w:titlePg/>
          <w:docGrid w:linePitch="326"/>
        </w:sectPr>
      </w:pPr>
    </w:p>
    <w:sdt>
      <w:sdtPr>
        <w:rPr>
          <w:rFonts w:ascii="Times New Roman" w:eastAsia="Times New Roman" w:hAnsi="Times New Roman" w:cs="Times New Roman"/>
          <w:color w:val="auto"/>
          <w:sz w:val="24"/>
          <w:szCs w:val="20"/>
          <w:lang w:eastAsia="en-US"/>
        </w:rPr>
        <w:id w:val="461009057"/>
        <w:docPartObj>
          <w:docPartGallery w:val="Table of Contents"/>
          <w:docPartUnique/>
        </w:docPartObj>
      </w:sdtPr>
      <w:sdtEndPr>
        <w:rPr>
          <w:b/>
          <w:bCs/>
        </w:rPr>
      </w:sdtEndPr>
      <w:sdtContent>
        <w:p w14:paraId="0A8C4C93" w14:textId="3E8D56D0" w:rsidR="00E001D1" w:rsidRDefault="00E001D1">
          <w:pPr>
            <w:pStyle w:val="TOCHeading"/>
          </w:pPr>
          <w:r>
            <w:t>Sisällysluettelo</w:t>
          </w:r>
        </w:p>
        <w:p w14:paraId="2FFC7B7D" w14:textId="456F02A3" w:rsidR="00CD19BA" w:rsidRDefault="00E001D1">
          <w:pPr>
            <w:pStyle w:val="TOC1"/>
            <w:tabs>
              <w:tab w:val="right" w:leader="dot" w:pos="9628"/>
            </w:tabs>
            <w:rPr>
              <w:rFonts w:asciiTheme="minorHAnsi" w:eastAsiaTheme="minorEastAsia" w:hAnsiTheme="minorHAnsi" w:cstheme="minorBidi"/>
              <w:noProof/>
              <w:sz w:val="22"/>
              <w:szCs w:val="22"/>
              <w:lang w:eastAsia="fi-FI"/>
            </w:rPr>
          </w:pPr>
          <w:r>
            <w:fldChar w:fldCharType="begin"/>
          </w:r>
          <w:r>
            <w:instrText xml:space="preserve"> TOC \o "1-3" \h \z \u </w:instrText>
          </w:r>
          <w:r>
            <w:fldChar w:fldCharType="separate"/>
          </w:r>
          <w:hyperlink w:anchor="_Toc162447898" w:history="1">
            <w:r w:rsidR="00CD19BA" w:rsidRPr="00D242ED">
              <w:rPr>
                <w:rStyle w:val="Hyperlink"/>
                <w:noProof/>
              </w:rPr>
              <w:t>1 Tukiohjelman tausta</w:t>
            </w:r>
            <w:r w:rsidR="00CD19BA">
              <w:rPr>
                <w:noProof/>
                <w:webHidden/>
              </w:rPr>
              <w:tab/>
            </w:r>
            <w:r w:rsidR="00CD19BA">
              <w:rPr>
                <w:noProof/>
                <w:webHidden/>
              </w:rPr>
              <w:fldChar w:fldCharType="begin"/>
            </w:r>
            <w:r w:rsidR="00CD19BA">
              <w:rPr>
                <w:noProof/>
                <w:webHidden/>
              </w:rPr>
              <w:instrText xml:space="preserve"> PAGEREF _Toc162447898 \h </w:instrText>
            </w:r>
            <w:r w:rsidR="00CD19BA">
              <w:rPr>
                <w:noProof/>
                <w:webHidden/>
              </w:rPr>
            </w:r>
            <w:r w:rsidR="00CD19BA">
              <w:rPr>
                <w:noProof/>
                <w:webHidden/>
              </w:rPr>
              <w:fldChar w:fldCharType="separate"/>
            </w:r>
            <w:r w:rsidR="00CD19BA">
              <w:rPr>
                <w:noProof/>
                <w:webHidden/>
              </w:rPr>
              <w:t>1</w:t>
            </w:r>
            <w:r w:rsidR="00CD19BA">
              <w:rPr>
                <w:noProof/>
                <w:webHidden/>
              </w:rPr>
              <w:fldChar w:fldCharType="end"/>
            </w:r>
          </w:hyperlink>
        </w:p>
        <w:p w14:paraId="041A28E8" w14:textId="12E93363"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899" w:history="1">
            <w:r w:rsidR="00CD19BA" w:rsidRPr="00D242ED">
              <w:rPr>
                <w:rStyle w:val="Hyperlink"/>
                <w:noProof/>
              </w:rPr>
              <w:t>1.1 Suomen elpymis- ja palautumissuunnitelma</w:t>
            </w:r>
            <w:r w:rsidR="00CD19BA">
              <w:rPr>
                <w:noProof/>
                <w:webHidden/>
              </w:rPr>
              <w:tab/>
            </w:r>
            <w:r w:rsidR="00CD19BA">
              <w:rPr>
                <w:noProof/>
                <w:webHidden/>
              </w:rPr>
              <w:fldChar w:fldCharType="begin"/>
            </w:r>
            <w:r w:rsidR="00CD19BA">
              <w:rPr>
                <w:noProof/>
                <w:webHidden/>
              </w:rPr>
              <w:instrText xml:space="preserve"> PAGEREF _Toc162447899 \h </w:instrText>
            </w:r>
            <w:r w:rsidR="00CD19BA">
              <w:rPr>
                <w:noProof/>
                <w:webHidden/>
              </w:rPr>
            </w:r>
            <w:r w:rsidR="00CD19BA">
              <w:rPr>
                <w:noProof/>
                <w:webHidden/>
              </w:rPr>
              <w:fldChar w:fldCharType="separate"/>
            </w:r>
            <w:r w:rsidR="00CD19BA">
              <w:rPr>
                <w:noProof/>
                <w:webHidden/>
              </w:rPr>
              <w:t>1</w:t>
            </w:r>
            <w:r w:rsidR="00CD19BA">
              <w:rPr>
                <w:noProof/>
                <w:webHidden/>
              </w:rPr>
              <w:fldChar w:fldCharType="end"/>
            </w:r>
          </w:hyperlink>
        </w:p>
        <w:p w14:paraId="7A9FEC1F" w14:textId="4E7449E3"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00" w:history="1">
            <w:r w:rsidR="00CD19BA" w:rsidRPr="00D242ED">
              <w:rPr>
                <w:rStyle w:val="Hyperlink"/>
                <w:noProof/>
              </w:rPr>
              <w:t>1.2 Suhde EU:n valtiontukisääntelyyn</w:t>
            </w:r>
            <w:r w:rsidR="00CD19BA">
              <w:rPr>
                <w:noProof/>
                <w:webHidden/>
              </w:rPr>
              <w:tab/>
            </w:r>
            <w:r w:rsidR="00CD19BA">
              <w:rPr>
                <w:noProof/>
                <w:webHidden/>
              </w:rPr>
              <w:fldChar w:fldCharType="begin"/>
            </w:r>
            <w:r w:rsidR="00CD19BA">
              <w:rPr>
                <w:noProof/>
                <w:webHidden/>
              </w:rPr>
              <w:instrText xml:space="preserve"> PAGEREF _Toc162447900 \h </w:instrText>
            </w:r>
            <w:r w:rsidR="00CD19BA">
              <w:rPr>
                <w:noProof/>
                <w:webHidden/>
              </w:rPr>
            </w:r>
            <w:r w:rsidR="00CD19BA">
              <w:rPr>
                <w:noProof/>
                <w:webHidden/>
              </w:rPr>
              <w:fldChar w:fldCharType="separate"/>
            </w:r>
            <w:r w:rsidR="00CD19BA">
              <w:rPr>
                <w:noProof/>
                <w:webHidden/>
              </w:rPr>
              <w:t>2</w:t>
            </w:r>
            <w:r w:rsidR="00CD19BA">
              <w:rPr>
                <w:noProof/>
                <w:webHidden/>
              </w:rPr>
              <w:fldChar w:fldCharType="end"/>
            </w:r>
          </w:hyperlink>
        </w:p>
        <w:p w14:paraId="64326908" w14:textId="56F465A7"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01" w:history="1">
            <w:r w:rsidR="00CD19BA" w:rsidRPr="00D242ED">
              <w:rPr>
                <w:rStyle w:val="Hyperlink"/>
                <w:noProof/>
              </w:rPr>
              <w:t>2 Tuen hakija</w:t>
            </w:r>
            <w:r w:rsidR="00CD19BA">
              <w:rPr>
                <w:noProof/>
                <w:webHidden/>
              </w:rPr>
              <w:tab/>
            </w:r>
            <w:r w:rsidR="00CD19BA">
              <w:rPr>
                <w:noProof/>
                <w:webHidden/>
              </w:rPr>
              <w:fldChar w:fldCharType="begin"/>
            </w:r>
            <w:r w:rsidR="00CD19BA">
              <w:rPr>
                <w:noProof/>
                <w:webHidden/>
              </w:rPr>
              <w:instrText xml:space="preserve"> PAGEREF _Toc162447901 \h </w:instrText>
            </w:r>
            <w:r w:rsidR="00CD19BA">
              <w:rPr>
                <w:noProof/>
                <w:webHidden/>
              </w:rPr>
            </w:r>
            <w:r w:rsidR="00CD19BA">
              <w:rPr>
                <w:noProof/>
                <w:webHidden/>
              </w:rPr>
              <w:fldChar w:fldCharType="separate"/>
            </w:r>
            <w:r w:rsidR="00CD19BA">
              <w:rPr>
                <w:noProof/>
                <w:webHidden/>
              </w:rPr>
              <w:t>3</w:t>
            </w:r>
            <w:r w:rsidR="00CD19BA">
              <w:rPr>
                <w:noProof/>
                <w:webHidden/>
              </w:rPr>
              <w:fldChar w:fldCharType="end"/>
            </w:r>
          </w:hyperlink>
        </w:p>
        <w:p w14:paraId="7CF436D6" w14:textId="4EDC71B1"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02" w:history="1">
            <w:r w:rsidR="00CD19BA" w:rsidRPr="00D242ED">
              <w:rPr>
                <w:rStyle w:val="Hyperlink"/>
                <w:noProof/>
              </w:rPr>
              <w:t>3 Tuettavat hankkeet</w:t>
            </w:r>
            <w:r w:rsidR="00CD19BA">
              <w:rPr>
                <w:noProof/>
                <w:webHidden/>
              </w:rPr>
              <w:tab/>
            </w:r>
            <w:r w:rsidR="00CD19BA">
              <w:rPr>
                <w:noProof/>
                <w:webHidden/>
              </w:rPr>
              <w:fldChar w:fldCharType="begin"/>
            </w:r>
            <w:r w:rsidR="00CD19BA">
              <w:rPr>
                <w:noProof/>
                <w:webHidden/>
              </w:rPr>
              <w:instrText xml:space="preserve"> PAGEREF _Toc162447902 \h </w:instrText>
            </w:r>
            <w:r w:rsidR="00CD19BA">
              <w:rPr>
                <w:noProof/>
                <w:webHidden/>
              </w:rPr>
            </w:r>
            <w:r w:rsidR="00CD19BA">
              <w:rPr>
                <w:noProof/>
                <w:webHidden/>
              </w:rPr>
              <w:fldChar w:fldCharType="separate"/>
            </w:r>
            <w:r w:rsidR="00CD19BA">
              <w:rPr>
                <w:noProof/>
                <w:webHidden/>
              </w:rPr>
              <w:t>3</w:t>
            </w:r>
            <w:r w:rsidR="00CD19BA">
              <w:rPr>
                <w:noProof/>
                <w:webHidden/>
              </w:rPr>
              <w:fldChar w:fldCharType="end"/>
            </w:r>
          </w:hyperlink>
        </w:p>
        <w:p w14:paraId="3FE8B544" w14:textId="5B41ED05"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03" w:history="1">
            <w:r w:rsidR="00CD19BA" w:rsidRPr="00D242ED">
              <w:rPr>
                <w:rStyle w:val="Hyperlink"/>
                <w:noProof/>
              </w:rPr>
              <w:t>3.1 Energiainfrastruktuurihankkeet (P1C1I1)</w:t>
            </w:r>
            <w:r w:rsidR="00CD19BA">
              <w:rPr>
                <w:noProof/>
                <w:webHidden/>
              </w:rPr>
              <w:tab/>
            </w:r>
            <w:r w:rsidR="00CD19BA">
              <w:rPr>
                <w:noProof/>
                <w:webHidden/>
              </w:rPr>
              <w:fldChar w:fldCharType="begin"/>
            </w:r>
            <w:r w:rsidR="00CD19BA">
              <w:rPr>
                <w:noProof/>
                <w:webHidden/>
              </w:rPr>
              <w:instrText xml:space="preserve"> PAGEREF _Toc162447903 \h </w:instrText>
            </w:r>
            <w:r w:rsidR="00CD19BA">
              <w:rPr>
                <w:noProof/>
                <w:webHidden/>
              </w:rPr>
            </w:r>
            <w:r w:rsidR="00CD19BA">
              <w:rPr>
                <w:noProof/>
                <w:webHidden/>
              </w:rPr>
              <w:fldChar w:fldCharType="separate"/>
            </w:r>
            <w:r w:rsidR="00CD19BA">
              <w:rPr>
                <w:noProof/>
                <w:webHidden/>
              </w:rPr>
              <w:t>3</w:t>
            </w:r>
            <w:r w:rsidR="00CD19BA">
              <w:rPr>
                <w:noProof/>
                <w:webHidden/>
              </w:rPr>
              <w:fldChar w:fldCharType="end"/>
            </w:r>
          </w:hyperlink>
        </w:p>
        <w:p w14:paraId="5D7EBF8D" w14:textId="00690369"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04" w:history="1">
            <w:r w:rsidR="00CD19BA" w:rsidRPr="00D242ED">
              <w:rPr>
                <w:rStyle w:val="Hyperlink"/>
                <w:noProof/>
              </w:rPr>
              <w:t>4 Tuen myöntämisen edellytykset</w:t>
            </w:r>
            <w:r w:rsidR="00CD19BA">
              <w:rPr>
                <w:noProof/>
                <w:webHidden/>
              </w:rPr>
              <w:tab/>
            </w:r>
            <w:r w:rsidR="00CD19BA">
              <w:rPr>
                <w:noProof/>
                <w:webHidden/>
              </w:rPr>
              <w:fldChar w:fldCharType="begin"/>
            </w:r>
            <w:r w:rsidR="00CD19BA">
              <w:rPr>
                <w:noProof/>
                <w:webHidden/>
              </w:rPr>
              <w:instrText xml:space="preserve"> PAGEREF _Toc162447904 \h </w:instrText>
            </w:r>
            <w:r w:rsidR="00CD19BA">
              <w:rPr>
                <w:noProof/>
                <w:webHidden/>
              </w:rPr>
            </w:r>
            <w:r w:rsidR="00CD19BA">
              <w:rPr>
                <w:noProof/>
                <w:webHidden/>
              </w:rPr>
              <w:fldChar w:fldCharType="separate"/>
            </w:r>
            <w:r w:rsidR="00CD19BA">
              <w:rPr>
                <w:noProof/>
                <w:webHidden/>
              </w:rPr>
              <w:t>4</w:t>
            </w:r>
            <w:r w:rsidR="00CD19BA">
              <w:rPr>
                <w:noProof/>
                <w:webHidden/>
              </w:rPr>
              <w:fldChar w:fldCharType="end"/>
            </w:r>
          </w:hyperlink>
        </w:p>
        <w:p w14:paraId="628779DC" w14:textId="56A728D8"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05" w:history="1">
            <w:r w:rsidR="00CD19BA" w:rsidRPr="00D242ED">
              <w:rPr>
                <w:rStyle w:val="Hyperlink"/>
                <w:noProof/>
              </w:rPr>
              <w:t>4.1 Tuen myöntämisen yleiset edellytykset</w:t>
            </w:r>
            <w:r w:rsidR="00CD19BA">
              <w:rPr>
                <w:noProof/>
                <w:webHidden/>
              </w:rPr>
              <w:tab/>
            </w:r>
            <w:r w:rsidR="00CD19BA">
              <w:rPr>
                <w:noProof/>
                <w:webHidden/>
              </w:rPr>
              <w:fldChar w:fldCharType="begin"/>
            </w:r>
            <w:r w:rsidR="00CD19BA">
              <w:rPr>
                <w:noProof/>
                <w:webHidden/>
              </w:rPr>
              <w:instrText xml:space="preserve"> PAGEREF _Toc162447905 \h </w:instrText>
            </w:r>
            <w:r w:rsidR="00CD19BA">
              <w:rPr>
                <w:noProof/>
                <w:webHidden/>
              </w:rPr>
            </w:r>
            <w:r w:rsidR="00CD19BA">
              <w:rPr>
                <w:noProof/>
                <w:webHidden/>
              </w:rPr>
              <w:fldChar w:fldCharType="separate"/>
            </w:r>
            <w:r w:rsidR="00CD19BA">
              <w:rPr>
                <w:noProof/>
                <w:webHidden/>
              </w:rPr>
              <w:t>4</w:t>
            </w:r>
            <w:r w:rsidR="00CD19BA">
              <w:rPr>
                <w:noProof/>
                <w:webHidden/>
              </w:rPr>
              <w:fldChar w:fldCharType="end"/>
            </w:r>
          </w:hyperlink>
        </w:p>
        <w:p w14:paraId="025ACD82" w14:textId="101386DD"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06" w:history="1">
            <w:r w:rsidR="00CD19BA" w:rsidRPr="00D242ED">
              <w:rPr>
                <w:rStyle w:val="Hyperlink"/>
                <w:noProof/>
              </w:rPr>
              <w:t>4.2 Ei merkittävää haittaa –periaatteen mukaisuuden osoittaminen</w:t>
            </w:r>
            <w:r w:rsidR="00CD19BA">
              <w:rPr>
                <w:noProof/>
                <w:webHidden/>
              </w:rPr>
              <w:tab/>
            </w:r>
            <w:r w:rsidR="00CD19BA">
              <w:rPr>
                <w:noProof/>
                <w:webHidden/>
              </w:rPr>
              <w:fldChar w:fldCharType="begin"/>
            </w:r>
            <w:r w:rsidR="00CD19BA">
              <w:rPr>
                <w:noProof/>
                <w:webHidden/>
              </w:rPr>
              <w:instrText xml:space="preserve"> PAGEREF _Toc162447906 \h </w:instrText>
            </w:r>
            <w:r w:rsidR="00CD19BA">
              <w:rPr>
                <w:noProof/>
                <w:webHidden/>
              </w:rPr>
            </w:r>
            <w:r w:rsidR="00CD19BA">
              <w:rPr>
                <w:noProof/>
                <w:webHidden/>
              </w:rPr>
              <w:fldChar w:fldCharType="separate"/>
            </w:r>
            <w:r w:rsidR="00CD19BA">
              <w:rPr>
                <w:noProof/>
                <w:webHidden/>
              </w:rPr>
              <w:t>5</w:t>
            </w:r>
            <w:r w:rsidR="00CD19BA">
              <w:rPr>
                <w:noProof/>
                <w:webHidden/>
              </w:rPr>
              <w:fldChar w:fldCharType="end"/>
            </w:r>
          </w:hyperlink>
        </w:p>
        <w:p w14:paraId="708AACDF" w14:textId="16B2E984"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07" w:history="1">
            <w:r w:rsidR="00CD19BA" w:rsidRPr="00D242ED">
              <w:rPr>
                <w:rStyle w:val="Hyperlink"/>
                <w:noProof/>
              </w:rPr>
              <w:t>4.3 Tuen myöntämisen erityiset edellytykset</w:t>
            </w:r>
            <w:r w:rsidR="00CD19BA">
              <w:rPr>
                <w:noProof/>
                <w:webHidden/>
              </w:rPr>
              <w:tab/>
            </w:r>
            <w:r w:rsidR="00CD19BA">
              <w:rPr>
                <w:noProof/>
                <w:webHidden/>
              </w:rPr>
              <w:fldChar w:fldCharType="begin"/>
            </w:r>
            <w:r w:rsidR="00CD19BA">
              <w:rPr>
                <w:noProof/>
                <w:webHidden/>
              </w:rPr>
              <w:instrText xml:space="preserve"> PAGEREF _Toc162447907 \h </w:instrText>
            </w:r>
            <w:r w:rsidR="00CD19BA">
              <w:rPr>
                <w:noProof/>
                <w:webHidden/>
              </w:rPr>
            </w:r>
            <w:r w:rsidR="00CD19BA">
              <w:rPr>
                <w:noProof/>
                <w:webHidden/>
              </w:rPr>
              <w:fldChar w:fldCharType="separate"/>
            </w:r>
            <w:r w:rsidR="00CD19BA">
              <w:rPr>
                <w:noProof/>
                <w:webHidden/>
              </w:rPr>
              <w:t>7</w:t>
            </w:r>
            <w:r w:rsidR="00CD19BA">
              <w:rPr>
                <w:noProof/>
                <w:webHidden/>
              </w:rPr>
              <w:fldChar w:fldCharType="end"/>
            </w:r>
          </w:hyperlink>
        </w:p>
        <w:p w14:paraId="1316CD25" w14:textId="0FD19D52"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08" w:history="1">
            <w:r w:rsidR="00CD19BA" w:rsidRPr="00D242ED">
              <w:rPr>
                <w:rStyle w:val="Hyperlink"/>
                <w:noProof/>
              </w:rPr>
              <w:t>5 Tuen enimmäismäärä</w:t>
            </w:r>
            <w:r w:rsidR="00CD19BA">
              <w:rPr>
                <w:noProof/>
                <w:webHidden/>
              </w:rPr>
              <w:tab/>
            </w:r>
            <w:r w:rsidR="00CD19BA">
              <w:rPr>
                <w:noProof/>
                <w:webHidden/>
              </w:rPr>
              <w:fldChar w:fldCharType="begin"/>
            </w:r>
            <w:r w:rsidR="00CD19BA">
              <w:rPr>
                <w:noProof/>
                <w:webHidden/>
              </w:rPr>
              <w:instrText xml:space="preserve"> PAGEREF _Toc162447908 \h </w:instrText>
            </w:r>
            <w:r w:rsidR="00CD19BA">
              <w:rPr>
                <w:noProof/>
                <w:webHidden/>
              </w:rPr>
            </w:r>
            <w:r w:rsidR="00CD19BA">
              <w:rPr>
                <w:noProof/>
                <w:webHidden/>
              </w:rPr>
              <w:fldChar w:fldCharType="separate"/>
            </w:r>
            <w:r w:rsidR="00CD19BA">
              <w:rPr>
                <w:noProof/>
                <w:webHidden/>
              </w:rPr>
              <w:t>8</w:t>
            </w:r>
            <w:r w:rsidR="00CD19BA">
              <w:rPr>
                <w:noProof/>
                <w:webHidden/>
              </w:rPr>
              <w:fldChar w:fldCharType="end"/>
            </w:r>
          </w:hyperlink>
        </w:p>
        <w:p w14:paraId="6CC8BEA9" w14:textId="5AC0C694"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09" w:history="1">
            <w:r w:rsidR="00CD19BA" w:rsidRPr="00D242ED">
              <w:rPr>
                <w:rStyle w:val="Hyperlink"/>
                <w:noProof/>
              </w:rPr>
              <w:t>6 Hyväksyttävät kustannukset</w:t>
            </w:r>
            <w:r w:rsidR="00CD19BA">
              <w:rPr>
                <w:noProof/>
                <w:webHidden/>
              </w:rPr>
              <w:tab/>
            </w:r>
            <w:r w:rsidR="00CD19BA">
              <w:rPr>
                <w:noProof/>
                <w:webHidden/>
              </w:rPr>
              <w:fldChar w:fldCharType="begin"/>
            </w:r>
            <w:r w:rsidR="00CD19BA">
              <w:rPr>
                <w:noProof/>
                <w:webHidden/>
              </w:rPr>
              <w:instrText xml:space="preserve"> PAGEREF _Toc162447909 \h </w:instrText>
            </w:r>
            <w:r w:rsidR="00CD19BA">
              <w:rPr>
                <w:noProof/>
                <w:webHidden/>
              </w:rPr>
            </w:r>
            <w:r w:rsidR="00CD19BA">
              <w:rPr>
                <w:noProof/>
                <w:webHidden/>
              </w:rPr>
              <w:fldChar w:fldCharType="separate"/>
            </w:r>
            <w:r w:rsidR="00CD19BA">
              <w:rPr>
                <w:noProof/>
                <w:webHidden/>
              </w:rPr>
              <w:t>8</w:t>
            </w:r>
            <w:r w:rsidR="00CD19BA">
              <w:rPr>
                <w:noProof/>
                <w:webHidden/>
              </w:rPr>
              <w:fldChar w:fldCharType="end"/>
            </w:r>
          </w:hyperlink>
        </w:p>
        <w:p w14:paraId="6C473867" w14:textId="21D85C37"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10" w:history="1">
            <w:r w:rsidR="00CD19BA" w:rsidRPr="00D242ED">
              <w:rPr>
                <w:rStyle w:val="Hyperlink"/>
                <w:noProof/>
              </w:rPr>
              <w:t>6.1 Energiainfrastruktuurihankkeen hyväksyttävät kustannukset</w:t>
            </w:r>
            <w:r w:rsidR="00CD19BA">
              <w:rPr>
                <w:noProof/>
                <w:webHidden/>
              </w:rPr>
              <w:tab/>
            </w:r>
            <w:r w:rsidR="00CD19BA">
              <w:rPr>
                <w:noProof/>
                <w:webHidden/>
              </w:rPr>
              <w:fldChar w:fldCharType="begin"/>
            </w:r>
            <w:r w:rsidR="00CD19BA">
              <w:rPr>
                <w:noProof/>
                <w:webHidden/>
              </w:rPr>
              <w:instrText xml:space="preserve"> PAGEREF _Toc162447910 \h </w:instrText>
            </w:r>
            <w:r w:rsidR="00CD19BA">
              <w:rPr>
                <w:noProof/>
                <w:webHidden/>
              </w:rPr>
            </w:r>
            <w:r w:rsidR="00CD19BA">
              <w:rPr>
                <w:noProof/>
                <w:webHidden/>
              </w:rPr>
              <w:fldChar w:fldCharType="separate"/>
            </w:r>
            <w:r w:rsidR="00CD19BA">
              <w:rPr>
                <w:noProof/>
                <w:webHidden/>
              </w:rPr>
              <w:t>8</w:t>
            </w:r>
            <w:r w:rsidR="00CD19BA">
              <w:rPr>
                <w:noProof/>
                <w:webHidden/>
              </w:rPr>
              <w:fldChar w:fldCharType="end"/>
            </w:r>
          </w:hyperlink>
        </w:p>
        <w:p w14:paraId="034BAD8D" w14:textId="5CA5A58E"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11" w:history="1">
            <w:r w:rsidR="00CD19BA" w:rsidRPr="00D242ED">
              <w:rPr>
                <w:rStyle w:val="Hyperlink"/>
                <w:noProof/>
              </w:rPr>
              <w:t>6.2 Tuen saajan etuyhteydessä olevalta taholta tehdyt hankinnat</w:t>
            </w:r>
            <w:r w:rsidR="00CD19BA">
              <w:rPr>
                <w:noProof/>
                <w:webHidden/>
              </w:rPr>
              <w:tab/>
            </w:r>
            <w:r w:rsidR="00CD19BA">
              <w:rPr>
                <w:noProof/>
                <w:webHidden/>
              </w:rPr>
              <w:fldChar w:fldCharType="begin"/>
            </w:r>
            <w:r w:rsidR="00CD19BA">
              <w:rPr>
                <w:noProof/>
                <w:webHidden/>
              </w:rPr>
              <w:instrText xml:space="preserve"> PAGEREF _Toc162447911 \h </w:instrText>
            </w:r>
            <w:r w:rsidR="00CD19BA">
              <w:rPr>
                <w:noProof/>
                <w:webHidden/>
              </w:rPr>
            </w:r>
            <w:r w:rsidR="00CD19BA">
              <w:rPr>
                <w:noProof/>
                <w:webHidden/>
              </w:rPr>
              <w:fldChar w:fldCharType="separate"/>
            </w:r>
            <w:r w:rsidR="00CD19BA">
              <w:rPr>
                <w:noProof/>
                <w:webHidden/>
              </w:rPr>
              <w:t>9</w:t>
            </w:r>
            <w:r w:rsidR="00CD19BA">
              <w:rPr>
                <w:noProof/>
                <w:webHidden/>
              </w:rPr>
              <w:fldChar w:fldCharType="end"/>
            </w:r>
          </w:hyperlink>
        </w:p>
        <w:p w14:paraId="094D9D84" w14:textId="2CC9654C"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12" w:history="1">
            <w:r w:rsidR="00CD19BA" w:rsidRPr="00D242ED">
              <w:rPr>
                <w:rStyle w:val="Hyperlink"/>
                <w:noProof/>
              </w:rPr>
              <w:t>7 Tuen hakeminen ja aikataulu</w:t>
            </w:r>
            <w:r w:rsidR="00CD19BA">
              <w:rPr>
                <w:noProof/>
                <w:webHidden/>
              </w:rPr>
              <w:tab/>
            </w:r>
            <w:r w:rsidR="00CD19BA">
              <w:rPr>
                <w:noProof/>
                <w:webHidden/>
              </w:rPr>
              <w:fldChar w:fldCharType="begin"/>
            </w:r>
            <w:r w:rsidR="00CD19BA">
              <w:rPr>
                <w:noProof/>
                <w:webHidden/>
              </w:rPr>
              <w:instrText xml:space="preserve"> PAGEREF _Toc162447912 \h </w:instrText>
            </w:r>
            <w:r w:rsidR="00CD19BA">
              <w:rPr>
                <w:noProof/>
                <w:webHidden/>
              </w:rPr>
            </w:r>
            <w:r w:rsidR="00CD19BA">
              <w:rPr>
                <w:noProof/>
                <w:webHidden/>
              </w:rPr>
              <w:fldChar w:fldCharType="separate"/>
            </w:r>
            <w:r w:rsidR="00CD19BA">
              <w:rPr>
                <w:noProof/>
                <w:webHidden/>
              </w:rPr>
              <w:t>9</w:t>
            </w:r>
            <w:r w:rsidR="00CD19BA">
              <w:rPr>
                <w:noProof/>
                <w:webHidden/>
              </w:rPr>
              <w:fldChar w:fldCharType="end"/>
            </w:r>
          </w:hyperlink>
        </w:p>
        <w:p w14:paraId="01A099A4" w14:textId="3523E55C"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13" w:history="1">
            <w:r w:rsidR="00CD19BA" w:rsidRPr="00D242ED">
              <w:rPr>
                <w:rStyle w:val="Hyperlink"/>
                <w:noProof/>
              </w:rPr>
              <w:t>7.1 Hakemuksessa vaadittavat tiedot</w:t>
            </w:r>
            <w:r w:rsidR="00CD19BA">
              <w:rPr>
                <w:noProof/>
                <w:webHidden/>
              </w:rPr>
              <w:tab/>
            </w:r>
            <w:r w:rsidR="00CD19BA">
              <w:rPr>
                <w:noProof/>
                <w:webHidden/>
              </w:rPr>
              <w:fldChar w:fldCharType="begin"/>
            </w:r>
            <w:r w:rsidR="00CD19BA">
              <w:rPr>
                <w:noProof/>
                <w:webHidden/>
              </w:rPr>
              <w:instrText xml:space="preserve"> PAGEREF _Toc162447913 \h </w:instrText>
            </w:r>
            <w:r w:rsidR="00CD19BA">
              <w:rPr>
                <w:noProof/>
                <w:webHidden/>
              </w:rPr>
            </w:r>
            <w:r w:rsidR="00CD19BA">
              <w:rPr>
                <w:noProof/>
                <w:webHidden/>
              </w:rPr>
              <w:fldChar w:fldCharType="separate"/>
            </w:r>
            <w:r w:rsidR="00CD19BA">
              <w:rPr>
                <w:noProof/>
                <w:webHidden/>
              </w:rPr>
              <w:t>9</w:t>
            </w:r>
            <w:r w:rsidR="00CD19BA">
              <w:rPr>
                <w:noProof/>
                <w:webHidden/>
              </w:rPr>
              <w:fldChar w:fldCharType="end"/>
            </w:r>
          </w:hyperlink>
        </w:p>
        <w:p w14:paraId="0932D408" w14:textId="7215B60A"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14" w:history="1">
            <w:r w:rsidR="00CD19BA" w:rsidRPr="00D242ED">
              <w:rPr>
                <w:rStyle w:val="Hyperlink"/>
                <w:noProof/>
              </w:rPr>
              <w:t>8 Hakemusten käsittely ja tuen myöntäminen</w:t>
            </w:r>
            <w:r w:rsidR="00CD19BA">
              <w:rPr>
                <w:noProof/>
                <w:webHidden/>
              </w:rPr>
              <w:tab/>
            </w:r>
            <w:r w:rsidR="00CD19BA">
              <w:rPr>
                <w:noProof/>
                <w:webHidden/>
              </w:rPr>
              <w:fldChar w:fldCharType="begin"/>
            </w:r>
            <w:r w:rsidR="00CD19BA">
              <w:rPr>
                <w:noProof/>
                <w:webHidden/>
              </w:rPr>
              <w:instrText xml:space="preserve"> PAGEREF _Toc162447914 \h </w:instrText>
            </w:r>
            <w:r w:rsidR="00CD19BA">
              <w:rPr>
                <w:noProof/>
                <w:webHidden/>
              </w:rPr>
            </w:r>
            <w:r w:rsidR="00CD19BA">
              <w:rPr>
                <w:noProof/>
                <w:webHidden/>
              </w:rPr>
              <w:fldChar w:fldCharType="separate"/>
            </w:r>
            <w:r w:rsidR="00CD19BA">
              <w:rPr>
                <w:noProof/>
                <w:webHidden/>
              </w:rPr>
              <w:t>11</w:t>
            </w:r>
            <w:r w:rsidR="00CD19BA">
              <w:rPr>
                <w:noProof/>
                <w:webHidden/>
              </w:rPr>
              <w:fldChar w:fldCharType="end"/>
            </w:r>
          </w:hyperlink>
        </w:p>
        <w:p w14:paraId="7DFCE89C" w14:textId="055BFD52"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15" w:history="1">
            <w:r w:rsidR="00CD19BA" w:rsidRPr="00D242ED">
              <w:rPr>
                <w:rStyle w:val="Hyperlink"/>
                <w:noProof/>
              </w:rPr>
              <w:t>9 Tukipäätöksen muuttaminen</w:t>
            </w:r>
            <w:r w:rsidR="00CD19BA">
              <w:rPr>
                <w:noProof/>
                <w:webHidden/>
              </w:rPr>
              <w:tab/>
            </w:r>
            <w:r w:rsidR="00CD19BA">
              <w:rPr>
                <w:noProof/>
                <w:webHidden/>
              </w:rPr>
              <w:fldChar w:fldCharType="begin"/>
            </w:r>
            <w:r w:rsidR="00CD19BA">
              <w:rPr>
                <w:noProof/>
                <w:webHidden/>
              </w:rPr>
              <w:instrText xml:space="preserve"> PAGEREF _Toc162447915 \h </w:instrText>
            </w:r>
            <w:r w:rsidR="00CD19BA">
              <w:rPr>
                <w:noProof/>
                <w:webHidden/>
              </w:rPr>
            </w:r>
            <w:r w:rsidR="00CD19BA">
              <w:rPr>
                <w:noProof/>
                <w:webHidden/>
              </w:rPr>
              <w:fldChar w:fldCharType="separate"/>
            </w:r>
            <w:r w:rsidR="00CD19BA">
              <w:rPr>
                <w:noProof/>
                <w:webHidden/>
              </w:rPr>
              <w:t>11</w:t>
            </w:r>
            <w:r w:rsidR="00CD19BA">
              <w:rPr>
                <w:noProof/>
                <w:webHidden/>
              </w:rPr>
              <w:fldChar w:fldCharType="end"/>
            </w:r>
          </w:hyperlink>
        </w:p>
        <w:p w14:paraId="6A74A5D4" w14:textId="2E0B10EB"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16" w:history="1">
            <w:r w:rsidR="00CD19BA" w:rsidRPr="00D242ED">
              <w:rPr>
                <w:rStyle w:val="Hyperlink"/>
                <w:noProof/>
              </w:rPr>
              <w:t>10 Tuen maksatuksen hakeminen ja maksaminen</w:t>
            </w:r>
            <w:r w:rsidR="00CD19BA">
              <w:rPr>
                <w:noProof/>
                <w:webHidden/>
              </w:rPr>
              <w:tab/>
            </w:r>
            <w:r w:rsidR="00CD19BA">
              <w:rPr>
                <w:noProof/>
                <w:webHidden/>
              </w:rPr>
              <w:fldChar w:fldCharType="begin"/>
            </w:r>
            <w:r w:rsidR="00CD19BA">
              <w:rPr>
                <w:noProof/>
                <w:webHidden/>
              </w:rPr>
              <w:instrText xml:space="preserve"> PAGEREF _Toc162447916 \h </w:instrText>
            </w:r>
            <w:r w:rsidR="00CD19BA">
              <w:rPr>
                <w:noProof/>
                <w:webHidden/>
              </w:rPr>
            </w:r>
            <w:r w:rsidR="00CD19BA">
              <w:rPr>
                <w:noProof/>
                <w:webHidden/>
              </w:rPr>
              <w:fldChar w:fldCharType="separate"/>
            </w:r>
            <w:r w:rsidR="00CD19BA">
              <w:rPr>
                <w:noProof/>
                <w:webHidden/>
              </w:rPr>
              <w:t>11</w:t>
            </w:r>
            <w:r w:rsidR="00CD19BA">
              <w:rPr>
                <w:noProof/>
                <w:webHidden/>
              </w:rPr>
              <w:fldChar w:fldCharType="end"/>
            </w:r>
          </w:hyperlink>
        </w:p>
        <w:p w14:paraId="180AA463" w14:textId="7CFF42B8"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17" w:history="1">
            <w:r w:rsidR="00CD19BA" w:rsidRPr="00D242ED">
              <w:rPr>
                <w:rStyle w:val="Hyperlink"/>
                <w:noProof/>
              </w:rPr>
              <w:t>10.1 Maksatushakemus ja siihen sisällytettävät tiedot ja selvitykset</w:t>
            </w:r>
            <w:r w:rsidR="00CD19BA">
              <w:rPr>
                <w:noProof/>
                <w:webHidden/>
              </w:rPr>
              <w:tab/>
            </w:r>
            <w:r w:rsidR="00CD19BA">
              <w:rPr>
                <w:noProof/>
                <w:webHidden/>
              </w:rPr>
              <w:fldChar w:fldCharType="begin"/>
            </w:r>
            <w:r w:rsidR="00CD19BA">
              <w:rPr>
                <w:noProof/>
                <w:webHidden/>
              </w:rPr>
              <w:instrText xml:space="preserve"> PAGEREF _Toc162447917 \h </w:instrText>
            </w:r>
            <w:r w:rsidR="00CD19BA">
              <w:rPr>
                <w:noProof/>
                <w:webHidden/>
              </w:rPr>
            </w:r>
            <w:r w:rsidR="00CD19BA">
              <w:rPr>
                <w:noProof/>
                <w:webHidden/>
              </w:rPr>
              <w:fldChar w:fldCharType="separate"/>
            </w:r>
            <w:r w:rsidR="00CD19BA">
              <w:rPr>
                <w:noProof/>
                <w:webHidden/>
              </w:rPr>
              <w:t>11</w:t>
            </w:r>
            <w:r w:rsidR="00CD19BA">
              <w:rPr>
                <w:noProof/>
                <w:webHidden/>
              </w:rPr>
              <w:fldChar w:fldCharType="end"/>
            </w:r>
          </w:hyperlink>
        </w:p>
        <w:p w14:paraId="6B5132CB" w14:textId="07FD4844" w:rsidR="00CD19BA" w:rsidRDefault="00620FF9">
          <w:pPr>
            <w:pStyle w:val="TOC2"/>
            <w:tabs>
              <w:tab w:val="right" w:leader="dot" w:pos="9628"/>
            </w:tabs>
            <w:rPr>
              <w:rFonts w:asciiTheme="minorHAnsi" w:eastAsiaTheme="minorEastAsia" w:hAnsiTheme="minorHAnsi" w:cstheme="minorBidi"/>
              <w:noProof/>
              <w:sz w:val="22"/>
              <w:szCs w:val="22"/>
              <w:lang w:eastAsia="fi-FI"/>
            </w:rPr>
          </w:pPr>
          <w:hyperlink w:anchor="_Toc162447918" w:history="1">
            <w:r w:rsidR="00CD19BA" w:rsidRPr="00D242ED">
              <w:rPr>
                <w:rStyle w:val="Hyperlink"/>
                <w:noProof/>
              </w:rPr>
              <w:t>10.2 Tuen maksaminen</w:t>
            </w:r>
            <w:r w:rsidR="00CD19BA">
              <w:rPr>
                <w:noProof/>
                <w:webHidden/>
              </w:rPr>
              <w:tab/>
            </w:r>
            <w:r w:rsidR="00CD19BA">
              <w:rPr>
                <w:noProof/>
                <w:webHidden/>
              </w:rPr>
              <w:fldChar w:fldCharType="begin"/>
            </w:r>
            <w:r w:rsidR="00CD19BA">
              <w:rPr>
                <w:noProof/>
                <w:webHidden/>
              </w:rPr>
              <w:instrText xml:space="preserve"> PAGEREF _Toc162447918 \h </w:instrText>
            </w:r>
            <w:r w:rsidR="00CD19BA">
              <w:rPr>
                <w:noProof/>
                <w:webHidden/>
              </w:rPr>
            </w:r>
            <w:r w:rsidR="00CD19BA">
              <w:rPr>
                <w:noProof/>
                <w:webHidden/>
              </w:rPr>
              <w:fldChar w:fldCharType="separate"/>
            </w:r>
            <w:r w:rsidR="00CD19BA">
              <w:rPr>
                <w:noProof/>
                <w:webHidden/>
              </w:rPr>
              <w:t>12</w:t>
            </w:r>
            <w:r w:rsidR="00CD19BA">
              <w:rPr>
                <w:noProof/>
                <w:webHidden/>
              </w:rPr>
              <w:fldChar w:fldCharType="end"/>
            </w:r>
          </w:hyperlink>
        </w:p>
        <w:p w14:paraId="251684DE" w14:textId="6FA4B9C7" w:rsidR="00CD19BA" w:rsidRDefault="00620FF9">
          <w:pPr>
            <w:pStyle w:val="TOC1"/>
            <w:tabs>
              <w:tab w:val="right" w:leader="dot" w:pos="9628"/>
            </w:tabs>
            <w:rPr>
              <w:rFonts w:asciiTheme="minorHAnsi" w:eastAsiaTheme="minorEastAsia" w:hAnsiTheme="minorHAnsi" w:cstheme="minorBidi"/>
              <w:noProof/>
              <w:sz w:val="22"/>
              <w:szCs w:val="22"/>
              <w:lang w:eastAsia="fi-FI"/>
            </w:rPr>
          </w:pPr>
          <w:hyperlink w:anchor="_Toc162447919" w:history="1">
            <w:r w:rsidR="00CD19BA" w:rsidRPr="00D242ED">
              <w:rPr>
                <w:rStyle w:val="Hyperlink"/>
                <w:noProof/>
              </w:rPr>
              <w:t>11 Tuensaajan velvollisuudet</w:t>
            </w:r>
            <w:r w:rsidR="00CD19BA">
              <w:rPr>
                <w:noProof/>
                <w:webHidden/>
              </w:rPr>
              <w:tab/>
            </w:r>
            <w:r w:rsidR="00CD19BA">
              <w:rPr>
                <w:noProof/>
                <w:webHidden/>
              </w:rPr>
              <w:fldChar w:fldCharType="begin"/>
            </w:r>
            <w:r w:rsidR="00CD19BA">
              <w:rPr>
                <w:noProof/>
                <w:webHidden/>
              </w:rPr>
              <w:instrText xml:space="preserve"> PAGEREF _Toc162447919 \h </w:instrText>
            </w:r>
            <w:r w:rsidR="00CD19BA">
              <w:rPr>
                <w:noProof/>
                <w:webHidden/>
              </w:rPr>
            </w:r>
            <w:r w:rsidR="00CD19BA">
              <w:rPr>
                <w:noProof/>
                <w:webHidden/>
              </w:rPr>
              <w:fldChar w:fldCharType="separate"/>
            </w:r>
            <w:r w:rsidR="00CD19BA">
              <w:rPr>
                <w:noProof/>
                <w:webHidden/>
              </w:rPr>
              <w:t>12</w:t>
            </w:r>
            <w:r w:rsidR="00CD19BA">
              <w:rPr>
                <w:noProof/>
                <w:webHidden/>
              </w:rPr>
              <w:fldChar w:fldCharType="end"/>
            </w:r>
          </w:hyperlink>
        </w:p>
        <w:p w14:paraId="5E3B78CB" w14:textId="22D712E4" w:rsidR="00A34654" w:rsidRPr="00656186" w:rsidRDefault="00E001D1" w:rsidP="007A73FB">
          <w:pPr>
            <w:sectPr w:rsidR="00A34654" w:rsidRPr="00656186" w:rsidSect="00562E6B">
              <w:headerReference w:type="first" r:id="rId15"/>
              <w:pgSz w:w="11906" w:h="16838"/>
              <w:pgMar w:top="567" w:right="1134" w:bottom="851" w:left="1134" w:header="709" w:footer="970" w:gutter="0"/>
              <w:cols w:space="708"/>
              <w:titlePg/>
              <w:docGrid w:linePitch="326"/>
            </w:sectPr>
          </w:pPr>
          <w:r>
            <w:rPr>
              <w:b/>
              <w:bCs/>
            </w:rPr>
            <w:fldChar w:fldCharType="end"/>
          </w:r>
        </w:p>
      </w:sdtContent>
    </w:sdt>
    <w:p w14:paraId="659C17AC" w14:textId="47530049" w:rsidR="00A34654" w:rsidRPr="004E2858" w:rsidRDefault="1E290AE8">
      <w:pPr>
        <w:pStyle w:val="VMOtsikkonum1"/>
      </w:pPr>
      <w:bookmarkStart w:id="1" w:name="_Toc162447898"/>
      <w:bookmarkStart w:id="2" w:name="_Toc88747505"/>
      <w:bookmarkStart w:id="3" w:name="_Toc88818873"/>
      <w:r>
        <w:lastRenderedPageBreak/>
        <w:t>Tukiohjelman tausta</w:t>
      </w:r>
      <w:bookmarkEnd w:id="1"/>
      <w:r>
        <w:t xml:space="preserve"> </w:t>
      </w:r>
      <w:bookmarkEnd w:id="2"/>
      <w:bookmarkEnd w:id="3"/>
    </w:p>
    <w:p w14:paraId="2C71B5B2" w14:textId="54BE1D6B" w:rsidR="00502DDA" w:rsidRDefault="1E290AE8" w:rsidP="00502DDA">
      <w:pPr>
        <w:pStyle w:val="VMOtsikkonum2"/>
      </w:pPr>
      <w:bookmarkStart w:id="4" w:name="_Toc88747506"/>
      <w:bookmarkStart w:id="5" w:name="_Toc88818874"/>
      <w:bookmarkStart w:id="6" w:name="_Toc162447899"/>
      <w:r>
        <w:t>Suomen elpymis- ja palautumissuunnitelma</w:t>
      </w:r>
      <w:bookmarkEnd w:id="4"/>
      <w:bookmarkEnd w:id="5"/>
      <w:bookmarkEnd w:id="6"/>
    </w:p>
    <w:p w14:paraId="10AC0566" w14:textId="2A37A2B9" w:rsidR="005D0EDC" w:rsidRDefault="1E290AE8" w:rsidP="007A73FB">
      <w:pPr>
        <w:pStyle w:val="VMleipteksti"/>
        <w:spacing w:after="240"/>
        <w:ind w:left="0"/>
      </w:pPr>
      <w:r>
        <w:t xml:space="preserve">Euroopan parlamentin ja neuvoston asetuksella EU 2021/241 (RRF-asetus) perustetun elpymis- ja palautumistukivälineen tarkoituksena on tukea jäsenvaltioiden elpymistä Covid-19-kriisistä sekä puuttua Covid-19-kriisin kielteisiin vaikutuksiin ja seurauksiin unionissa. Tukivälineen tavoitteena on antaa jäsenvaltioille rahoitustukea niiden elpymis- ja palautumissuunnitelmissa esitettyjen uudistusten ja investointien välitavoitteiden ja tavoitteiden saavuttamiseksi. </w:t>
      </w:r>
    </w:p>
    <w:p w14:paraId="1808F29A" w14:textId="4FAB9E53" w:rsidR="002D4326" w:rsidRDefault="6F62490B" w:rsidP="007A73FB">
      <w:pPr>
        <w:pStyle w:val="VMleipteksti"/>
        <w:spacing w:after="240"/>
        <w:ind w:left="0"/>
      </w:pPr>
      <w:r>
        <w:t>Suomen elpymis- ja palautumissuunnitelma (RRP) on Suomen kansallinen suunnitelma EU:n elpy-mis- ja palautumistukivälineen (RRF) rahoituksen hyödyntämiseksi. Suunnitelma on osa Suomen kestävän kasvun ohjelmaa. Euroopan unionin neuvosto on 29.10.2021 antamallaan täytäntöönpanopäätöksellä hyväksynyt Suomen elpymis- ja palautumissuunnitelman.</w:t>
      </w:r>
      <w:r w:rsidR="005342B8">
        <w:t xml:space="preserve"> </w:t>
      </w:r>
      <w:r w:rsidR="005342B8" w:rsidRPr="00445B7E">
        <w:t>Euroopan Unionin neuvosto on 8.12.2023 antamalla täytäntöönpanopäätöksellään hyväksynyt Suomen muutetun elpymis- ja palautumissuunnitelman, joka sisältää uuden REPowerEU-luvun.</w:t>
      </w:r>
      <w:r w:rsidR="005342B8">
        <w:t xml:space="preserve">  </w:t>
      </w:r>
    </w:p>
    <w:p w14:paraId="366062C0" w14:textId="574A6A06" w:rsidR="00896249" w:rsidRDefault="00B7334B" w:rsidP="007A73FB">
      <w:pPr>
        <w:pStyle w:val="VMleipteksti"/>
        <w:ind w:left="0"/>
      </w:pPr>
      <w:r>
        <w:t>Tukiohjelman</w:t>
      </w:r>
      <w:r w:rsidR="0040131B" w:rsidRPr="6B5AC2E7">
        <w:t xml:space="preserve"> </w:t>
      </w:r>
      <w:r w:rsidR="00896249">
        <w:t>tavoitteena on edistää Suomen elpymis- ja palautumissuunnitelman mukaisia energiainvestointi-</w:t>
      </w:r>
      <w:r w:rsidR="00B3080C" w:rsidRPr="6B5AC2E7">
        <w:t xml:space="preserve"> </w:t>
      </w:r>
      <w:r w:rsidR="00896249">
        <w:t>ja energiainfrastruktuurihankkeita, joilla vähennetään Suomen kasvihuonekaasupäästöjä ja jotka tukevat Suomen hiilineutraalisuustavoitteita. Tavoitteena on myös vähentää uusiutuvan</w:t>
      </w:r>
      <w:r w:rsidR="00887C32" w:rsidRPr="6B5AC2E7">
        <w:t xml:space="preserve"> </w:t>
      </w:r>
    </w:p>
    <w:p w14:paraId="15A5C940" w14:textId="77777777" w:rsidR="00D51DDF" w:rsidRDefault="1E290AE8" w:rsidP="1E290AE8">
      <w:pPr>
        <w:spacing w:after="240"/>
        <w:rPr>
          <w:lang w:eastAsia="fi-FI"/>
        </w:rPr>
      </w:pPr>
      <w:r w:rsidRPr="1E290AE8">
        <w:rPr>
          <w:lang w:eastAsia="fi-FI"/>
        </w:rPr>
        <w:t xml:space="preserve">energian ja uuden energiateknologian teknologisia ja taloudellisia riskejä muun muassa vetyhankkeissa ja uuden energiateknologian hankkeissa. </w:t>
      </w:r>
    </w:p>
    <w:p w14:paraId="032CF121" w14:textId="3701661F" w:rsidR="00D51DDF" w:rsidRDefault="1E290AE8" w:rsidP="007A73FB">
      <w:pPr>
        <w:pStyle w:val="VMleipteksti"/>
        <w:spacing w:after="240"/>
        <w:ind w:left="0"/>
      </w:pPr>
      <w:r>
        <w:t xml:space="preserve">Tukiohjelma toteutetaan ei merkittävää haittaa –periaatteen mukaisesti. </w:t>
      </w:r>
    </w:p>
    <w:p w14:paraId="33280173" w14:textId="37DCB101" w:rsidR="00817CC5" w:rsidRDefault="1E290AE8" w:rsidP="007A73FB">
      <w:pPr>
        <w:pStyle w:val="VMleipteksti"/>
        <w:spacing w:after="240"/>
        <w:ind w:left="0"/>
      </w:pPr>
      <w:r>
        <w:t>Tuen myöntäminen perustuu valtioneuvoston asetukseen 1112/2021 tuesta Suomen elpymis- ja palautumissuunnitelman mukaisille energiainvestoinneille vuosina 2022–2026. Asetus vastaa sisällöltään hyvin pitkälti energiatuen myöntämiseen sovellettavaa energiatukiasetusta.</w:t>
      </w:r>
    </w:p>
    <w:p w14:paraId="6DDF6478" w14:textId="567296B0" w:rsidR="002322C7" w:rsidRPr="002322B5" w:rsidRDefault="00593F6B" w:rsidP="1E290AE8">
      <w:pPr>
        <w:pStyle w:val="VMleipteksti"/>
        <w:spacing w:after="240"/>
        <w:ind w:left="0"/>
        <w:rPr>
          <w:u w:val="single"/>
        </w:rPr>
      </w:pPr>
      <w:r w:rsidRPr="002322B5">
        <w:rPr>
          <w:u w:val="single"/>
        </w:rPr>
        <w:t xml:space="preserve">Viidennellä </w:t>
      </w:r>
      <w:r w:rsidR="005342B8" w:rsidRPr="002322B5">
        <w:rPr>
          <w:u w:val="single"/>
        </w:rPr>
        <w:t>h</w:t>
      </w:r>
      <w:r w:rsidR="1E290AE8" w:rsidRPr="002322B5">
        <w:rPr>
          <w:u w:val="single"/>
        </w:rPr>
        <w:t>akukierroksella tuetaan</w:t>
      </w:r>
      <w:r w:rsidRPr="002322B5">
        <w:rPr>
          <w:u w:val="single"/>
        </w:rPr>
        <w:t xml:space="preserve"> suuren kokoluokan energiainfrastruktuurihankkeita</w:t>
      </w:r>
    </w:p>
    <w:p w14:paraId="6A7901B6" w14:textId="197E362E" w:rsidR="00593F6B" w:rsidRPr="002322B5" w:rsidRDefault="00593F6B" w:rsidP="007A73FB">
      <w:pPr>
        <w:pStyle w:val="VMleipteksti"/>
        <w:spacing w:after="240"/>
        <w:ind w:left="0"/>
      </w:pPr>
      <w:r w:rsidRPr="002322B5">
        <w:t xml:space="preserve">Energiainfrastruktuurihankkeiden hakukierros on suunnattu hankkeille, joiden hyväksyttävät kustannukset ylittävät yli 5 miljoonaa euroa. </w:t>
      </w:r>
    </w:p>
    <w:p w14:paraId="0C6AF4F3" w14:textId="68103933" w:rsidR="0074688C" w:rsidRPr="002322B5" w:rsidRDefault="6F62490B" w:rsidP="007A73FB">
      <w:pPr>
        <w:pStyle w:val="VMleipteksti"/>
        <w:spacing w:after="240"/>
        <w:ind w:left="0"/>
      </w:pPr>
      <w:r w:rsidRPr="002322B5">
        <w:t>Työ- ja elinkeinoministeriö tekee tukipäätökset hankkeille, joissa hyväksyttävät kustannukset ovat yli 5 miljoonaa euroa</w:t>
      </w:r>
      <w:r w:rsidR="00F26E12" w:rsidRPr="002322B5">
        <w:t>.</w:t>
      </w:r>
    </w:p>
    <w:p w14:paraId="4D3BFE2F" w14:textId="7F6FA7B6" w:rsidR="00CB074F" w:rsidRDefault="65485516" w:rsidP="6B5AC2E7">
      <w:pPr>
        <w:pStyle w:val="VMleipteksti"/>
        <w:spacing w:after="240"/>
        <w:ind w:left="0"/>
      </w:pPr>
      <w:r w:rsidRPr="00911CD7">
        <w:t>Hakukierros on viides asetuksen 1112/2021 perusteella järjestetty hakukierros. Haku on auki 15.4.-15.5.2024 klo 16:15 asti.</w:t>
      </w:r>
    </w:p>
    <w:p w14:paraId="7141FBDA" w14:textId="17DFF4C1" w:rsidR="001C609B" w:rsidRDefault="1E290AE8" w:rsidP="00CB074F">
      <w:pPr>
        <w:pStyle w:val="VMleipteksti"/>
        <w:spacing w:after="240"/>
        <w:ind w:left="0"/>
      </w:pPr>
      <w:r>
        <w:t>Ensimmäinen kierros järjestettiin 20.12.2021–4.3.2022. Ensi</w:t>
      </w:r>
      <w:r w:rsidR="00ED49E2">
        <w:t>mmäinen hakukierros oli laaja, sillä haettavina olivat kaikki vuoden 2021 RRP-ohjelman mukaiset energiainvestointien toimet</w:t>
      </w:r>
      <w:r>
        <w:t xml:space="preserve">. </w:t>
      </w:r>
    </w:p>
    <w:p w14:paraId="30281F0C" w14:textId="243EE474" w:rsidR="00CB074F" w:rsidRPr="004211A1" w:rsidRDefault="6F62490B" w:rsidP="00CB074F">
      <w:pPr>
        <w:pStyle w:val="VMleipteksti"/>
        <w:spacing w:after="240"/>
        <w:ind w:left="0"/>
      </w:pPr>
      <w:r>
        <w:t xml:space="preserve">Toinen kierros järjestettiin 15.3.-26.5.2023. Toinen hakukierros päätettiin järjestää, sillä osa energiainfrastruktuuriin sekä teollisuuden sähköistämiseen kohdistetuista varoista jäi käyttämättä ensimmäisessä hakukierroksessa. Elinkeinoministeri Mika Lintilä antoi päätöksen toisen hakukierroksen </w:t>
      </w:r>
      <w:r w:rsidRPr="004211A1">
        <w:t xml:space="preserve">järjestämisestä 9.3.2023. </w:t>
      </w:r>
    </w:p>
    <w:p w14:paraId="1BCF033F" w14:textId="672A7B2F" w:rsidR="00F26E12" w:rsidRPr="004211A1" w:rsidRDefault="00F26E12" w:rsidP="00CB074F">
      <w:pPr>
        <w:pStyle w:val="VMleipteksti"/>
        <w:spacing w:after="240"/>
        <w:ind w:left="0"/>
      </w:pPr>
      <w:r w:rsidRPr="004211A1">
        <w:t>Kolmas hakukierros</w:t>
      </w:r>
      <w:r w:rsidR="00501A0D" w:rsidRPr="004211A1">
        <w:t xml:space="preserve"> järjestettiin 13.10.-13.11.2023. Kolmas hakukierros päätettiin järjestää, sillä osa teollisuuden sähköistämiseen kohdistetuista varoista jäi käyttämättä aikaisempien hakukierrosten jälkeen. Ympäristö- ja ilmastoministeri Kai Mykkänen antoi päätöksen kolmannen hakukierroksen järjestämisestä 12.10.2023.</w:t>
      </w:r>
    </w:p>
    <w:p w14:paraId="63C49A6E" w14:textId="3B5E7970" w:rsidR="004E216F" w:rsidRPr="002322B5" w:rsidRDefault="00003A40" w:rsidP="00CB074F">
      <w:pPr>
        <w:pStyle w:val="VMleipteksti"/>
        <w:spacing w:after="240"/>
        <w:ind w:left="0"/>
      </w:pPr>
      <w:r w:rsidRPr="002322B5">
        <w:lastRenderedPageBreak/>
        <w:t>Neljäs hakukierros järjestettiin</w:t>
      </w:r>
      <w:r w:rsidR="75178BE2" w:rsidRPr="002322B5">
        <w:t xml:space="preserve"> 29.1.-29.2.2024. Neljäs RE</w:t>
      </w:r>
      <w:r w:rsidRPr="002322B5">
        <w:t>PowerEU-hakukierros järjestettiin</w:t>
      </w:r>
      <w:r w:rsidR="75178BE2" w:rsidRPr="002322B5">
        <w:t xml:space="preserve">, koska uuden REPowerEU-luvun hyväksynnän mukaisesti puhtaan siirtymän investointeihin varattu määräraha </w:t>
      </w:r>
      <w:r w:rsidR="004211A1" w:rsidRPr="002322B5">
        <w:t>myönnetään. Ympäristö</w:t>
      </w:r>
      <w:r w:rsidR="00ED49E2" w:rsidRPr="002322B5">
        <w:t xml:space="preserve">- ja ilmastoministeri Kai Mykkänen antoi päätöksen </w:t>
      </w:r>
      <w:r w:rsidR="002322B5">
        <w:t>neljännen</w:t>
      </w:r>
      <w:r w:rsidR="00ED49E2" w:rsidRPr="002322B5">
        <w:t xml:space="preserve"> hakukierroksen järjestämisestä 25.1.2024.</w:t>
      </w:r>
    </w:p>
    <w:p w14:paraId="6678141A" w14:textId="268E7515" w:rsidR="00003A40" w:rsidRDefault="65485516" w:rsidP="00CB074F">
      <w:pPr>
        <w:pStyle w:val="VMleipteksti"/>
        <w:spacing w:after="240"/>
        <w:ind w:left="0"/>
      </w:pPr>
      <w:r w:rsidRPr="00911CD7">
        <w:t>Viiden hakukierros järjestetään 15.4-15.5.2024. Viides hakukierros järjestetään, koska osa energiainfrastruktuurihankkeille kohdistetuista varoista jäi käyttämättä aikaisempien hakukierrosten jälkeen. Ympäristö- ja ilmastoministeri Kai Mykkänen antoi päätöksen viidennen h</w:t>
      </w:r>
      <w:r w:rsidR="00911CD7">
        <w:t>akukierroksen järjestämisestä 12.4</w:t>
      </w:r>
      <w:r w:rsidRPr="00911CD7">
        <w:t>.2024.</w:t>
      </w:r>
    </w:p>
    <w:p w14:paraId="659AEFA3" w14:textId="2816A3D5" w:rsidR="00D3414B" w:rsidRPr="00502DDA" w:rsidRDefault="1E290AE8" w:rsidP="00CB074F">
      <w:pPr>
        <w:pStyle w:val="VMOtsikkonum2"/>
      </w:pPr>
      <w:bookmarkStart w:id="7" w:name="_Toc88747507"/>
      <w:bookmarkStart w:id="8" w:name="_Toc88818875"/>
      <w:bookmarkStart w:id="9" w:name="_Toc162447900"/>
      <w:r>
        <w:t>Suhde EU:n valtiontukisääntelyyn</w:t>
      </w:r>
      <w:bookmarkEnd w:id="7"/>
      <w:bookmarkEnd w:id="8"/>
      <w:bookmarkEnd w:id="9"/>
    </w:p>
    <w:p w14:paraId="34E3F66D" w14:textId="002EE8C0" w:rsidR="00D46E56" w:rsidRDefault="1E290AE8" w:rsidP="007A73FB">
      <w:pPr>
        <w:pStyle w:val="VMleipteksti"/>
        <w:spacing w:after="240"/>
        <w:ind w:left="0"/>
      </w:pPr>
      <w:r>
        <w:t xml:space="preserve">Tukiohjelman mukainen tuki on valtiontukea, johon sovelletaan EU:n valtiontukisääntelyä. Euroopan unionin toiminnasta tehdyn sopimuksen mukaan valtiontuet ovat lähtökohtaisesti kiellettyjä. Sopimuksessa on kuitenkin määritelty poikkeukset, joiden nojalla tukitoimenpiteet voidaan hyväksyä. </w:t>
      </w:r>
    </w:p>
    <w:p w14:paraId="07210196" w14:textId="24EB3330" w:rsidR="00C81EA8" w:rsidRDefault="002B1DF0" w:rsidP="007A73FB">
      <w:pPr>
        <w:pStyle w:val="VMleipteksti"/>
        <w:spacing w:after="240"/>
        <w:ind w:left="0"/>
      </w:pPr>
      <w:r>
        <w:t>Pääsääntöisesti t</w:t>
      </w:r>
      <w:r w:rsidR="004331BE" w:rsidRPr="004331BE">
        <w:t xml:space="preserve">uen soveltuvuus sisämarkkinoille perustuu kulloinkin voimassa olevaan </w:t>
      </w:r>
      <w:r w:rsidR="004331BE" w:rsidRPr="0036672F">
        <w:t>ryhmäpoikkeusasetukseen</w:t>
      </w:r>
      <w:r w:rsidR="00DE53C2" w:rsidRPr="0036672F">
        <w:rPr>
          <w:rStyle w:val="FootnoteReference"/>
        </w:rPr>
        <w:footnoteReference w:id="2"/>
      </w:r>
      <w:r w:rsidR="004331BE" w:rsidRPr="0036672F">
        <w:t xml:space="preserve">. </w:t>
      </w:r>
      <w:r w:rsidRPr="0036672F">
        <w:t>Tällöin tukiohjelmaa ei tarvitse</w:t>
      </w:r>
      <w:r w:rsidR="00A753DD" w:rsidRPr="0036672F">
        <w:t xml:space="preserve"> erikseen</w:t>
      </w:r>
      <w:r w:rsidRPr="0036672F">
        <w:t xml:space="preserve"> hyväksyttää komissiolla. </w:t>
      </w:r>
      <w:r w:rsidR="00C81EA8" w:rsidRPr="0036672F">
        <w:t>Tuen</w:t>
      </w:r>
      <w:r w:rsidR="00C81EA8" w:rsidRPr="00C81EA8">
        <w:t xml:space="preserve"> myöntäminen edellyttää, että </w:t>
      </w:r>
      <w:r w:rsidR="00491540">
        <w:t>ryhmäpoikkeus</w:t>
      </w:r>
      <w:r w:rsidR="00C81EA8">
        <w:t>asetuksessa sää</w:t>
      </w:r>
      <w:r w:rsidR="00C81EA8" w:rsidRPr="00C81EA8">
        <w:t>dettyjä tuen myöntämisen edellytyksiä ja tu</w:t>
      </w:r>
      <w:r w:rsidR="00C81EA8" w:rsidRPr="001C7DCF">
        <w:t>kimuotoa koskevia erityisiä edellytyksiä noudatetaan</w:t>
      </w:r>
      <w:r w:rsidR="00DE53C2" w:rsidDel="00FB0F34">
        <w:rPr>
          <w:rStyle w:val="FootnoteReference"/>
        </w:rPr>
        <w:footnoteReference w:id="3"/>
      </w:r>
      <w:r w:rsidR="00C81EA8" w:rsidRPr="6B5AC2E7">
        <w:t>.</w:t>
      </w:r>
      <w:r w:rsidR="00300D51">
        <w:t xml:space="preserve"> </w:t>
      </w:r>
    </w:p>
    <w:p w14:paraId="54FC17BB" w14:textId="638E243E" w:rsidR="002B1DF0" w:rsidRPr="004B20C9" w:rsidRDefault="1E290AE8" w:rsidP="007A73FB">
      <w:pPr>
        <w:pStyle w:val="VMleipteksti"/>
        <w:spacing w:after="240"/>
        <w:ind w:left="0"/>
      </w:pPr>
      <w:r>
        <w:t>Tilanteissa, joissa ryhmäpoikkeusasetusta ei voida soveltaa, komissiolta on saatava etukäteishyväksyntä yksittäisen tuen soveltuvuudesta sisämarkkinoille. Tuki voidaan tällöin kuitenkin myöntää ehdollisena, kunnes komissio on hyväksynyt sen soveltuvaksi sisämarkkinoille.</w:t>
      </w:r>
    </w:p>
    <w:p w14:paraId="5527201E" w14:textId="5CAFF474" w:rsidR="00924716" w:rsidRPr="004B20C9" w:rsidRDefault="00D61B70" w:rsidP="007A73FB">
      <w:pPr>
        <w:pStyle w:val="VMleipteksti"/>
        <w:spacing w:after="240"/>
        <w:ind w:left="0"/>
      </w:pPr>
      <w:r w:rsidRPr="004B20C9">
        <w:t xml:space="preserve">Yksittäisen tuen myöntäminen edellyttää komission hyväksyntää kahdessa tilanteessa; </w:t>
      </w:r>
      <w:r w:rsidR="00924716" w:rsidRPr="004B20C9">
        <w:t xml:space="preserve">1) </w:t>
      </w:r>
      <w:r w:rsidRPr="004B20C9">
        <w:t>jos tuki ylittää ryhmäpoikkeusasetuksessa säädetyn kyseistä tukimuotoa koskevan ilmoituskynnysarvon</w:t>
      </w:r>
      <w:r w:rsidR="006026FC" w:rsidDel="00300D51">
        <w:rPr>
          <w:rStyle w:val="FootnoteReference"/>
        </w:rPr>
        <w:footnoteReference w:id="4"/>
      </w:r>
      <w:r w:rsidR="00924716" w:rsidRPr="004B20C9">
        <w:t xml:space="preserve">, tai 2) jos tuki ei kuulu ryhmäpoikkeusasetuksen soveltamisalaan tai siinä säädetyt tuen myöntämisen edellytykset tai tukimuotoa koskevat erityiset </w:t>
      </w:r>
      <w:r w:rsidR="00924716" w:rsidRPr="004211A1">
        <w:t>edellytykset eivät täyty.</w:t>
      </w:r>
    </w:p>
    <w:p w14:paraId="71405ED8" w14:textId="5BF4FC5B" w:rsidR="00863827" w:rsidRDefault="1E290AE8" w:rsidP="007A73FB">
      <w:pPr>
        <w:pStyle w:val="VMleipteksti"/>
        <w:spacing w:after="240"/>
        <w:ind w:left="0"/>
      </w:pPr>
      <w:r>
        <w:t xml:space="preserve">Komissio arvioisi yksittäisen tuen soveltuvuuden sisämarkkinoille soveltaen vuoden 2022 alusta voimaan tulevaa komission tiedonantoa ”Suuntaviivat valtiontuesta ilmaston- ja ympäristönsuojelulle sekä energia-alalle”. </w:t>
      </w:r>
    </w:p>
    <w:p w14:paraId="1C080470" w14:textId="783D9C28" w:rsidR="00DD1BD7" w:rsidRDefault="1E290AE8" w:rsidP="007A73FB">
      <w:pPr>
        <w:pStyle w:val="VMleipteksti"/>
        <w:spacing w:after="240"/>
        <w:ind w:left="0"/>
      </w:pPr>
      <w:r>
        <w:t xml:space="preserve">Investointituen myöntämiseen ja maksamiseen liittyvän Euroopan unionin lainsäädännön noudattamisesta säädetään lisäksi valtionavustuslaissa. Sen mukaan valtionavustus ei saa yhdessä muiden julkisten tukien kanssa ylittää EU:n tai Suomen lainsäädännössä säädettyä valtionavustuksen tai muun julkisen tuen enimmäismäärää. Lisäksi valtionapuviranomainen voi päätöksellään määrätä </w:t>
      </w:r>
      <w:r>
        <w:lastRenderedPageBreak/>
        <w:t>valtionavustuksen maksamisen keskeytettäväksi, jos EU:n lainsäädännössä edellytetään maksamisen keskeyttämistä. Valtionapuviranomainen voi myös päätöksellään määrätä valtionavustuksen maksamisen lopetettavaksi sekä jo maksetun valtionavustuksen takaisin perittäväksi, jos EU:n lainsäädännössä sitä edellytetään.</w:t>
      </w:r>
      <w:r w:rsidR="00DD1BD7">
        <w:br/>
      </w:r>
    </w:p>
    <w:p w14:paraId="4A9D5C4B" w14:textId="77777777" w:rsidR="00A34654" w:rsidRPr="00C82C3C" w:rsidRDefault="1E290AE8">
      <w:pPr>
        <w:pStyle w:val="VMOtsikkonum1"/>
      </w:pPr>
      <w:bookmarkStart w:id="10" w:name="_Toc88747508"/>
      <w:bookmarkStart w:id="11" w:name="_Toc88818876"/>
      <w:bookmarkStart w:id="12" w:name="_Toc162447901"/>
      <w:r>
        <w:t>Tuen hakija</w:t>
      </w:r>
      <w:bookmarkEnd w:id="10"/>
      <w:bookmarkEnd w:id="11"/>
      <w:bookmarkEnd w:id="12"/>
    </w:p>
    <w:p w14:paraId="41DD55FF" w14:textId="6B53BAF8" w:rsidR="004F7EDC" w:rsidRDefault="1E290AE8" w:rsidP="007A73FB">
      <w:pPr>
        <w:pStyle w:val="VMleipteksti"/>
        <w:spacing w:after="240"/>
        <w:ind w:left="0"/>
      </w:pPr>
      <w:r>
        <w:t xml:space="preserve">Tukea voidaan myöntää yrityksille ja muille yhteisöille, kuten kunnille. </w:t>
      </w:r>
    </w:p>
    <w:p w14:paraId="16C1CABA" w14:textId="77777777" w:rsidR="000B7072" w:rsidRDefault="1E290AE8" w:rsidP="007A73FB">
      <w:pPr>
        <w:pStyle w:val="VMleipteksti"/>
        <w:spacing w:before="240" w:after="240"/>
        <w:ind w:left="0"/>
      </w:pPr>
      <w:r>
        <w:t>Tukea ei kuitenkaan myönnetä:</w:t>
      </w:r>
    </w:p>
    <w:p w14:paraId="16B3D34D" w14:textId="6327BF32" w:rsidR="00814D0E" w:rsidRPr="000B7072" w:rsidRDefault="1E290AE8" w:rsidP="007A73FB">
      <w:pPr>
        <w:pStyle w:val="VMleipteksti"/>
        <w:numPr>
          <w:ilvl w:val="0"/>
          <w:numId w:val="24"/>
        </w:numPr>
        <w:spacing w:before="240"/>
      </w:pPr>
      <w:r>
        <w:t>organisaatiolle, jonka toiminta rahoitetaan valtion talousarviosta;</w:t>
      </w:r>
    </w:p>
    <w:p w14:paraId="0BBDE9B2" w14:textId="0EB7BDB3" w:rsidR="00814D0E" w:rsidRPr="000B7072" w:rsidRDefault="1E290AE8" w:rsidP="007A73FB">
      <w:pPr>
        <w:pStyle w:val="VMleipteksti"/>
        <w:numPr>
          <w:ilvl w:val="0"/>
          <w:numId w:val="24"/>
        </w:numPr>
      </w:pPr>
      <w:r>
        <w:t>valtion talousarviosta annetussa laissa (423/1988) tarkoitettuun taloushallinto-organisaatioon kuuluvalle virastolle, laitokselle tai muulle toimielimelle;</w:t>
      </w:r>
    </w:p>
    <w:p w14:paraId="0FBB1866" w14:textId="14513573" w:rsidR="00814D0E" w:rsidRPr="000B7072" w:rsidRDefault="1E290AE8" w:rsidP="007A73FB">
      <w:pPr>
        <w:pStyle w:val="VMleipteksti"/>
        <w:numPr>
          <w:ilvl w:val="0"/>
          <w:numId w:val="24"/>
        </w:numPr>
      </w:pPr>
      <w:r>
        <w:t>sellaiselle perustamishankkeen toteuttajalle, joka saa perustamishankkeeseen valtionosuutta;</w:t>
      </w:r>
    </w:p>
    <w:p w14:paraId="17A3C684" w14:textId="2541590C" w:rsidR="00814D0E" w:rsidRPr="000B7072" w:rsidRDefault="1E290AE8" w:rsidP="007A73FB">
      <w:pPr>
        <w:pStyle w:val="VMleipteksti"/>
        <w:numPr>
          <w:ilvl w:val="0"/>
          <w:numId w:val="24"/>
        </w:numPr>
      </w:pPr>
      <w:r>
        <w:t>asunto-osakeyhtiölle, asuinkiinteistölle tai maatilalle, taikka niiden yhteyteen toteutettavalle hankkeelle, lukuun ottamatta sellaista maatilan yhteydessä toteutettavaa hanketta, jossa tuotettava energia käytetään maatalouden tuotantotoiminnan ulkopuolella;</w:t>
      </w:r>
    </w:p>
    <w:p w14:paraId="0103780B" w14:textId="540908ED" w:rsidR="00814D0E" w:rsidRPr="000B7072" w:rsidRDefault="1E290AE8" w:rsidP="007A73FB">
      <w:pPr>
        <w:pStyle w:val="VMleipteksti"/>
        <w:numPr>
          <w:ilvl w:val="0"/>
          <w:numId w:val="24"/>
        </w:numPr>
      </w:pPr>
      <w:r>
        <w:t>Euroopan unionin valtiontukisääntelyssä tarkoitetulle vaikeuksissa olevalle yritykselle (rajoitus perustuu voimassa olevaan ryhmäpoikkeusasetukseen);</w:t>
      </w:r>
    </w:p>
    <w:p w14:paraId="3565EE81" w14:textId="035BD266" w:rsidR="00147CC6" w:rsidRDefault="1E290AE8" w:rsidP="00147CC6">
      <w:pPr>
        <w:pStyle w:val="VMleipteksti"/>
        <w:numPr>
          <w:ilvl w:val="0"/>
          <w:numId w:val="24"/>
        </w:numPr>
        <w:spacing w:after="240"/>
      </w:pPr>
      <w:r>
        <w:t xml:space="preserve">yhteisölle, joka on joutunut ulosottotoimenpiteen kohteeksi, selvitystilaan, konkurssiin tai yrityksen saneerauksesta annetussa laissa (47/1993) tarkoitettuun saneerausmenettelyyn. Tällaisella yrityksellä ei voida katsoa olevan edellytyksiä toteuttaa hanketta. Tukea ei myöskään myönnetä yhteisölle, joka ei ole noudattanut eräiden valtion tukea koskevien Euroopan unionin säännösten soveltamisesta annetun lain (300/2001) 1 §:ssä tarkoitettua tuen takaisinperintäpäätöstä. </w:t>
      </w:r>
      <w:r w:rsidR="00814D0E">
        <w:br/>
      </w:r>
      <w:r>
        <w:t xml:space="preserve"> </w:t>
      </w:r>
    </w:p>
    <w:p w14:paraId="6D82AB5A" w14:textId="77777777" w:rsidR="00A34654" w:rsidRPr="00B6710C" w:rsidRDefault="1E290AE8" w:rsidP="007A73FB">
      <w:pPr>
        <w:pStyle w:val="VMOtsikkonum1"/>
      </w:pPr>
      <w:bookmarkStart w:id="13" w:name="_Toc88747509"/>
      <w:bookmarkStart w:id="14" w:name="_Toc88818877"/>
      <w:bookmarkStart w:id="15" w:name="_Toc162447902"/>
      <w:r w:rsidRPr="00B6710C">
        <w:t>Tuettavat hankkeet</w:t>
      </w:r>
      <w:bookmarkEnd w:id="13"/>
      <w:bookmarkEnd w:id="14"/>
      <w:bookmarkEnd w:id="15"/>
    </w:p>
    <w:p w14:paraId="1CB0B16B" w14:textId="229ED3E8" w:rsidR="00CF0545" w:rsidRPr="002E587D" w:rsidRDefault="1E290AE8" w:rsidP="007A73FB">
      <w:pPr>
        <w:pStyle w:val="VMleipteksti"/>
        <w:spacing w:after="240"/>
        <w:ind w:left="0"/>
      </w:pPr>
      <w:r w:rsidRPr="002E587D">
        <w:t>Tukiohjelma perustuu Suomen elpymis- ja palautumissuunnitelmaan.</w:t>
      </w:r>
      <w:r w:rsidR="004211A1" w:rsidRPr="002E587D">
        <w:t xml:space="preserve"> </w:t>
      </w:r>
      <w:r w:rsidRPr="002E587D">
        <w:t>Tuk</w:t>
      </w:r>
      <w:r w:rsidR="00AC5C24" w:rsidRPr="002E587D">
        <w:t xml:space="preserve">iohjelmaan kuuluu yhteensä viisi eri toimenpidettä. </w:t>
      </w:r>
      <w:r w:rsidR="00B676AB" w:rsidRPr="002E587D">
        <w:t xml:space="preserve">Vuonna 2024 järjestettävä viides </w:t>
      </w:r>
      <w:r w:rsidRPr="002E587D">
        <w:t>hakukierros on kohdistettu seuraavaan Suomen elpymis- ja p</w:t>
      </w:r>
      <w:r w:rsidR="00B676AB" w:rsidRPr="002E587D">
        <w:t>alautumissuunnitelman pilarin 1</w:t>
      </w:r>
      <w:r w:rsidRPr="002E587D">
        <w:t xml:space="preserve"> mukaisiin investointeihin, joiden on valmistuttava viimeistään 30 kesäkuuta 2026:</w:t>
      </w:r>
    </w:p>
    <w:p w14:paraId="362E8E17" w14:textId="07D52C08" w:rsidR="00AC5C24" w:rsidRDefault="00B676AB" w:rsidP="007A73FB">
      <w:pPr>
        <w:pStyle w:val="VMleipteksti"/>
        <w:spacing w:after="240"/>
        <w:ind w:left="0"/>
      </w:pPr>
      <w:r w:rsidRPr="002E587D">
        <w:t>1) Energiainfrastruktuuri-investoinnit</w:t>
      </w:r>
      <w:r w:rsidR="00B601CB" w:rsidRPr="002E587D">
        <w:t xml:space="preserve"> (P1C1I1)</w:t>
      </w:r>
    </w:p>
    <w:p w14:paraId="7E88C279" w14:textId="37555F08" w:rsidR="00AC5C24" w:rsidRPr="00677FA7" w:rsidRDefault="1E290AE8" w:rsidP="005D03CE">
      <w:pPr>
        <w:pStyle w:val="VMleipteksti"/>
        <w:spacing w:after="240"/>
        <w:ind w:left="0"/>
      </w:pPr>
      <w:r>
        <w:t xml:space="preserve">Yleisedellytyksenä tuen saamiselle on hankkeen valmistuminen viimeistään 30 kesäkuuta 2026. Määräaika on sitova. Tukea voidaan myöntää ainoastaan hankkeille, jotka noudattavat ei merkittävää </w:t>
      </w:r>
      <w:r w:rsidRPr="00677FA7">
        <w:t xml:space="preserve">haittaa -periaatetta, ja jotka sijaitsevat Suomessa tai Suomen aluevesillä. </w:t>
      </w:r>
    </w:p>
    <w:p w14:paraId="2D4FABFF" w14:textId="32F9AC76" w:rsidR="00C5058B" w:rsidRPr="002E587D" w:rsidRDefault="00B601CB" w:rsidP="6B5AC2E7">
      <w:pPr>
        <w:pStyle w:val="VMOtsikkonum2"/>
      </w:pPr>
      <w:bookmarkStart w:id="16" w:name="_Toc128399879"/>
      <w:bookmarkStart w:id="17" w:name="_Toc162447903"/>
      <w:bookmarkStart w:id="18" w:name="_Toc88747511"/>
      <w:bookmarkStart w:id="19" w:name="_Toc88818879"/>
      <w:r w:rsidRPr="002E587D">
        <w:t>Energiainfrastruktuurihankkeet (P1</w:t>
      </w:r>
      <w:r w:rsidR="00AC5C24" w:rsidRPr="002E587D">
        <w:t>C1I1</w:t>
      </w:r>
      <w:r w:rsidR="1E290AE8" w:rsidRPr="002E587D">
        <w:t>)</w:t>
      </w:r>
      <w:bookmarkEnd w:id="16"/>
      <w:bookmarkEnd w:id="17"/>
    </w:p>
    <w:bookmarkEnd w:id="18"/>
    <w:bookmarkEnd w:id="19"/>
    <w:p w14:paraId="386BE594" w14:textId="40A32904" w:rsidR="00EF15BD" w:rsidRPr="002E587D" w:rsidRDefault="00B52B1D" w:rsidP="1E290AE8">
      <w:pPr>
        <w:pStyle w:val="VMleipteksti"/>
        <w:spacing w:after="240"/>
        <w:ind w:left="0"/>
        <w:rPr>
          <w:u w:val="single"/>
        </w:rPr>
      </w:pPr>
      <w:r w:rsidRPr="002E587D">
        <w:rPr>
          <w:u w:val="single"/>
        </w:rPr>
        <w:t>Invest</w:t>
      </w:r>
      <w:r w:rsidR="00B601CB" w:rsidRPr="002E587D">
        <w:rPr>
          <w:u w:val="single"/>
        </w:rPr>
        <w:t>oinnit puhtaaseen siirtymään (P1</w:t>
      </w:r>
      <w:r w:rsidRPr="002E587D">
        <w:rPr>
          <w:u w:val="single"/>
        </w:rPr>
        <w:t>C1I1)</w:t>
      </w:r>
      <w:r w:rsidR="00122958" w:rsidRPr="002E587D">
        <w:rPr>
          <w:rStyle w:val="FootnoteReference"/>
          <w:u w:val="single"/>
        </w:rPr>
        <w:footnoteReference w:id="5"/>
      </w:r>
      <w:r w:rsidR="00781305" w:rsidRPr="002E587D">
        <w:rPr>
          <w:u w:val="single"/>
        </w:rPr>
        <w:t xml:space="preserve"> liittyvän hankkeen tulee sopia seuraavaan kuvaukseen:</w:t>
      </w:r>
      <w:r w:rsidR="006944FF" w:rsidRPr="002E587D">
        <w:rPr>
          <w:u w:val="single"/>
        </w:rPr>
        <w:t xml:space="preserve"> </w:t>
      </w:r>
    </w:p>
    <w:p w14:paraId="384D5450" w14:textId="77777777" w:rsidR="00B601CB" w:rsidRPr="002E587D" w:rsidRDefault="00B601CB" w:rsidP="1E290AE8">
      <w:pPr>
        <w:pStyle w:val="VMleipteksti"/>
        <w:spacing w:after="240"/>
        <w:ind w:left="0"/>
      </w:pPr>
      <w:r w:rsidRPr="002E587D">
        <w:lastRenderedPageBreak/>
        <w:t xml:space="preserve">1) sähkön siirtoon ja jakeluun ja näihin liittyviin sähkön kantaverkonhaltijan ja jakeluverkonhaltijoiden toteuttamiin älykkäisiin ratkaisuihin, joilla liitetään uusiutuvaa energiaa kantaverkkoon ja otetaan uusia innovatiivisia teknologioita käyttöön jakeluverkossa. </w:t>
      </w:r>
    </w:p>
    <w:p w14:paraId="6193AFC2" w14:textId="173DC8CE" w:rsidR="00B601CB" w:rsidRPr="00C52C6D" w:rsidRDefault="00B601CB" w:rsidP="1E290AE8">
      <w:pPr>
        <w:pStyle w:val="VMleipteksti"/>
        <w:spacing w:after="240"/>
        <w:ind w:left="0"/>
      </w:pPr>
      <w:r w:rsidRPr="00C52C6D">
        <w:t xml:space="preserve">Näiden investointien osalta tuki on kohdistettu kanta- ja jakeluverkonhaltijoille. Tämän kohdan nojalla tuetaan esimerkiksi sellaisia älykkäitä ratkaisuja, jotka liittyvät tuulivoiman liittämiseen kantaverkkoon. </w:t>
      </w:r>
    </w:p>
    <w:p w14:paraId="412EDEAE" w14:textId="77777777" w:rsidR="00B601CB" w:rsidRPr="00C52C6D" w:rsidRDefault="00B601CB" w:rsidP="1E290AE8">
      <w:pPr>
        <w:pStyle w:val="VMleipteksti"/>
        <w:spacing w:after="240"/>
        <w:ind w:left="0"/>
      </w:pPr>
      <w:r w:rsidRPr="00C52C6D">
        <w:t xml:space="preserve">2) hukkalämmön, hukkakylmän ja uusiutuvan energian hyödyntämiseen ja siirtoon kaukolämmitysjärjestelmiin ja näihin liittyviin älykkäisiin ratkaisuihin </w:t>
      </w:r>
    </w:p>
    <w:p w14:paraId="62F1017B" w14:textId="7D0197F0" w:rsidR="00B601CB" w:rsidRPr="00C52C6D" w:rsidRDefault="00B601CB" w:rsidP="1E290AE8">
      <w:pPr>
        <w:pStyle w:val="VMleipteksti"/>
        <w:spacing w:after="240"/>
        <w:ind w:left="0"/>
      </w:pPr>
      <w:r w:rsidRPr="00C52C6D">
        <w:t xml:space="preserve">Tuen kohteena ovat investoinnit energiajärjestelmien integroimiseksi sekä ylijäämä- ja hukkalämmön ja uusiutuvan energian tuottamiseksi, siirtämiseksi ja hyödyntämiseksi kaukolämpöverkoissa. Tuki voi kohdistua myös näihin liittyviin älykkäisiin ratkaisuihin. </w:t>
      </w:r>
    </w:p>
    <w:p w14:paraId="3015BC90" w14:textId="77777777" w:rsidR="00B601CB" w:rsidRPr="00F90DBD" w:rsidRDefault="00B601CB" w:rsidP="1E290AE8">
      <w:pPr>
        <w:pStyle w:val="VMleipteksti"/>
        <w:spacing w:after="240"/>
        <w:ind w:left="0"/>
      </w:pPr>
      <w:r w:rsidRPr="00F90DBD">
        <w:t xml:space="preserve">3) vähähiilisen kaasun siirtoon ja jakeluun sekä näihin liittyviin älykkäisiin ratkaisuihin. </w:t>
      </w:r>
    </w:p>
    <w:p w14:paraId="4E694EA0" w14:textId="1FDE3670" w:rsidR="00B601CB" w:rsidRPr="00677FA7" w:rsidRDefault="00B601CB" w:rsidP="1E290AE8">
      <w:pPr>
        <w:pStyle w:val="VMleipteksti"/>
        <w:spacing w:after="240"/>
        <w:ind w:left="0"/>
        <w:rPr>
          <w:u w:val="single"/>
        </w:rPr>
      </w:pPr>
      <w:r w:rsidRPr="00F90DBD">
        <w:t>Vähähiilisellä kaasulla tarkoitetaan vähähiilistä vetyä, biokaasua tai kestävyyslain</w:t>
      </w:r>
      <w:r w:rsidRPr="00F90DBD">
        <w:rPr>
          <w:rStyle w:val="FootnoteReference"/>
        </w:rPr>
        <w:footnoteReference w:id="6"/>
      </w:r>
      <w:r w:rsidRPr="00F90DBD">
        <w:t xml:space="preserve"> 4 §:n 16 kohdassa tarkoitettuja muuta kuin biologista alkuperää olevia kaasumaisia liikenteen polttoaineita. Tukikelpoisia hankkeita ovat siirto- ja jakeluinfrastruktuuriin liittyvät hankkeet. Tukea ei voi kohdistaa ajoneuvoihin</w:t>
      </w:r>
    </w:p>
    <w:p w14:paraId="7955052B" w14:textId="60EDE19C" w:rsidR="006D2C1C" w:rsidRDefault="1E290AE8" w:rsidP="6B5AC2E7">
      <w:pPr>
        <w:pStyle w:val="VMOtsikkonum1"/>
      </w:pPr>
      <w:bookmarkStart w:id="20" w:name="_Toc88747514"/>
      <w:bookmarkStart w:id="21" w:name="_Toc88818881"/>
      <w:bookmarkStart w:id="22" w:name="_Toc162447904"/>
      <w:r>
        <w:t>Tuen myöntämisen edellytykset</w:t>
      </w:r>
      <w:bookmarkEnd w:id="20"/>
      <w:bookmarkEnd w:id="21"/>
      <w:bookmarkEnd w:id="22"/>
    </w:p>
    <w:p w14:paraId="20F50813" w14:textId="77276D0B" w:rsidR="000A520D" w:rsidRPr="000A520D" w:rsidRDefault="1E290AE8" w:rsidP="006E1305">
      <w:pPr>
        <w:pStyle w:val="VMleipteksti"/>
        <w:ind w:left="0"/>
      </w:pPr>
      <w:r>
        <w:t xml:space="preserve">Tuen myöntämiselle on sekä kaikkia hankkeita </w:t>
      </w:r>
      <w:r w:rsidR="00200E2D">
        <w:t>koskevia yleisiä edellytyksiä,</w:t>
      </w:r>
      <w:r>
        <w:t xml:space="preserve"> että vain tiettyjä hankemuotoja koskevia erityisiä edellytyksiä.</w:t>
      </w:r>
    </w:p>
    <w:p w14:paraId="4DB435EF" w14:textId="77777777" w:rsidR="006D2C1C" w:rsidRPr="00C82C3C" w:rsidRDefault="1E290AE8" w:rsidP="006D2C1C">
      <w:pPr>
        <w:pStyle w:val="VMOtsikkonum2"/>
      </w:pPr>
      <w:bookmarkStart w:id="23" w:name="_Toc88747515"/>
      <w:bookmarkStart w:id="24" w:name="_Toc88818882"/>
      <w:bookmarkStart w:id="25" w:name="_Toc162447905"/>
      <w:r>
        <w:t>Tuen myöntämisen yleiset edellytykset</w:t>
      </w:r>
      <w:bookmarkEnd w:id="23"/>
      <w:bookmarkEnd w:id="24"/>
      <w:bookmarkEnd w:id="25"/>
    </w:p>
    <w:p w14:paraId="158600A5" w14:textId="7437BE03" w:rsidR="006D2C1C" w:rsidRDefault="1E290AE8" w:rsidP="007A73FB">
      <w:pPr>
        <w:pStyle w:val="VMleipteksti"/>
        <w:spacing w:after="240"/>
        <w:ind w:left="0"/>
      </w:pPr>
      <w:r>
        <w:t xml:space="preserve">Tukea voidaan myöntää ainoastaan hankkeelle tai hankkeen osalle, </w:t>
      </w:r>
      <w:r w:rsidRPr="1E290AE8">
        <w:rPr>
          <w:u w:val="single"/>
        </w:rPr>
        <w:t>joka ei käynnistyisi ilman tukea</w:t>
      </w:r>
      <w:r>
        <w:t xml:space="preserve">. </w:t>
      </w:r>
    </w:p>
    <w:p w14:paraId="5DD0E8BC" w14:textId="77777777" w:rsidR="006D2C1C" w:rsidRDefault="1E290AE8" w:rsidP="007A73FB">
      <w:pPr>
        <w:pStyle w:val="VMleipteksti"/>
        <w:spacing w:after="240"/>
        <w:ind w:left="0"/>
      </w:pPr>
      <w:r>
        <w:t xml:space="preserve">Hanketta tai tuella rahoitettavaa rajattua osuutta hankkeesta </w:t>
      </w:r>
      <w:r w:rsidRPr="1E290AE8">
        <w:rPr>
          <w:u w:val="single"/>
        </w:rPr>
        <w:t>ei saa aloittaa ennen tuen hakemista</w:t>
      </w:r>
      <w:r>
        <w:t>. Hankkeen aloittamiseksi katsotaan sellaisen sitovan investointipäätöksen tai päälaitetilauksen tekeminen, rakentamistyön aloittamista koskevan päätöksen tekeminen tai muu vastaava sitoumus, jonka jälkeen hankkeen peruuttaminen ei enää ilman merkittävää taloudellista menetystä ole mahdollista.</w:t>
      </w:r>
    </w:p>
    <w:p w14:paraId="0EA6A9CF" w14:textId="77777777" w:rsidR="006D2C1C" w:rsidRDefault="1E290AE8" w:rsidP="007A73FB">
      <w:pPr>
        <w:pStyle w:val="VMleipteksti"/>
        <w:spacing w:after="240"/>
        <w:ind w:left="0"/>
      </w:pPr>
      <w:r w:rsidRPr="1E290AE8">
        <w:rPr>
          <w:u w:val="single"/>
        </w:rPr>
        <w:t>Tukea voidaan myöntää</w:t>
      </w:r>
      <w:r>
        <w:t xml:space="preserve"> hankkeeseen sisältyvän uuden teknologian toteuttamiseen, energiatehokkuustoimenpiteelle tai muutoin </w:t>
      </w:r>
      <w:r w:rsidRPr="1E290AE8">
        <w:rPr>
          <w:u w:val="single"/>
        </w:rPr>
        <w:t>rajatusti</w:t>
      </w:r>
      <w:r>
        <w:t>, jos kyseessä olevaa tuella rahoitettavaa rajattua osuutta hankkeesta ei ole käynnistetty edellä kuvatulla tavalla, vaikka hanke on muutoin käynnistetty.</w:t>
      </w:r>
    </w:p>
    <w:p w14:paraId="1B655719" w14:textId="6716C3BC" w:rsidR="006D2C1C" w:rsidRDefault="1E290AE8" w:rsidP="007A73FB">
      <w:pPr>
        <w:pStyle w:val="VMleipteksti"/>
        <w:spacing w:after="240"/>
        <w:ind w:left="0"/>
      </w:pPr>
      <w:r>
        <w:t xml:space="preserve">Koska investoinneille on asetettu sitova määräaika valmistua viimeistään 30.6.2026, tuen hakijoilla saattaa olla tarve tehdä </w:t>
      </w:r>
      <w:r w:rsidRPr="1E290AE8">
        <w:rPr>
          <w:u w:val="single"/>
        </w:rPr>
        <w:t>valmistelevia töitä</w:t>
      </w:r>
      <w:r>
        <w:t>, kuten maanrakennustöitä, jo ennen päätöstä tuen myöntämisestä. Tuen hakijat tekevät tällaiset valmistelevat toimet omalla riskillään. Hankkeen aloittamisen hakemuksen jättämisen jälkeen katsotaan kuitenkin täyttävän EU:n valtiontukisääntelyn mukaiset käynnistävän vaikutuksen periaatteet.</w:t>
      </w:r>
    </w:p>
    <w:p w14:paraId="1FD0C1BC" w14:textId="0B7F58D3" w:rsidR="006D2C1C" w:rsidRDefault="006D2C1C" w:rsidP="007A73FB">
      <w:pPr>
        <w:pStyle w:val="VMleipteksti"/>
        <w:spacing w:after="240"/>
        <w:ind w:left="0"/>
      </w:pPr>
      <w:r>
        <w:lastRenderedPageBreak/>
        <w:t>Tuen myöntämisen edellytyksenä on, että tuen saaja rahoittaa hankkeesta vähintään 25 prosenttia sellaisella rahoituksella, johon ei liity julkista tukea</w:t>
      </w:r>
      <w:r>
        <w:rPr>
          <w:rStyle w:val="FootnoteReference"/>
        </w:rPr>
        <w:footnoteReference w:id="7"/>
      </w:r>
      <w:r>
        <w:t xml:space="preserve">. </w:t>
      </w:r>
    </w:p>
    <w:p w14:paraId="03E36B5F" w14:textId="77777777" w:rsidR="006D2C1C" w:rsidRPr="006D2C1C" w:rsidRDefault="1E290AE8" w:rsidP="006D2C1C">
      <w:pPr>
        <w:pStyle w:val="VMOtsikkonum2"/>
      </w:pPr>
      <w:bookmarkStart w:id="26" w:name="_Toc88747513"/>
      <w:bookmarkStart w:id="27" w:name="_Toc88818883"/>
      <w:bookmarkStart w:id="28" w:name="_Toc162447906"/>
      <w:r>
        <w:t>Ei merkittävää haittaa –periaatteen mukaisuuden osoittaminen</w:t>
      </w:r>
      <w:bookmarkEnd w:id="26"/>
      <w:bookmarkEnd w:id="27"/>
      <w:bookmarkEnd w:id="28"/>
    </w:p>
    <w:p w14:paraId="469AC911" w14:textId="19B69768" w:rsidR="006D2C1C" w:rsidRDefault="1E290AE8" w:rsidP="007A73FB">
      <w:pPr>
        <w:pStyle w:val="VMleipteksti"/>
        <w:spacing w:after="240"/>
        <w:ind w:left="0"/>
      </w:pPr>
      <w:r>
        <w:t>Jokaisen Suomen elpymis- ja palautumissuunnitelman mukaisesta tukiohjelmasta rahoitettavan hankkeen on oltava ei merkittävää haittaa -periaatteen mukainen. Suunnitelma on osa Suomen kestävän kasvun ohjelmaa.</w:t>
      </w:r>
    </w:p>
    <w:p w14:paraId="683A2D27" w14:textId="6CFEFAB9" w:rsidR="006D2C1C" w:rsidRDefault="1E290AE8" w:rsidP="007A73FB">
      <w:pPr>
        <w:pStyle w:val="VMleipteksti"/>
        <w:ind w:left="0"/>
      </w:pPr>
      <w:r>
        <w:t>Tuen hakijan on osoitettava noudattavansa asetuksen (EU) 2020/852 17 artiklassa tarkoitettua ei merkittävää haittaa -periaatetta. Kyseisen periaatteen noudattaminen on edellytys hankkeen tukikelpoisuudelle. Tuen hakijalta voidaan edellyttää kolmannen osapuolen arviota periaatteen täyttymisestä hankkeessa.</w:t>
      </w:r>
    </w:p>
    <w:p w14:paraId="187CA01A" w14:textId="77777777" w:rsidR="006D2C1C" w:rsidRDefault="1E290AE8" w:rsidP="007A73FB">
      <w:pPr>
        <w:pStyle w:val="VMleipteksti"/>
        <w:spacing w:before="240"/>
        <w:ind w:left="0"/>
      </w:pPr>
      <w:r>
        <w:t>Hankkeen ei merkittävää haittaa -periaatteen mukaisuus tulee osoittaa kolmella tavalla:</w:t>
      </w:r>
    </w:p>
    <w:p w14:paraId="0016BB9F" w14:textId="77777777" w:rsidR="006D2C1C" w:rsidRDefault="1E290AE8" w:rsidP="007A73FB">
      <w:pPr>
        <w:pStyle w:val="VMleipteksti"/>
        <w:numPr>
          <w:ilvl w:val="0"/>
          <w:numId w:val="29"/>
        </w:numPr>
      </w:pPr>
      <w:r>
        <w:t>Hankkeen on täytettävä ei merkittävää haittaa -periaatteen teknisen ohjeistuksen 2021/C 58/01 mukaiset valinta- ja kelpoisuusehdot. Hakijan tulee laatia kaksiportainen arviointi kuuden ympäristötavoitteen osalta.</w:t>
      </w:r>
    </w:p>
    <w:p w14:paraId="032882C1" w14:textId="77777777" w:rsidR="006D2C1C" w:rsidRDefault="1E290AE8" w:rsidP="007A73FB">
      <w:pPr>
        <w:pStyle w:val="VMleipteksti"/>
        <w:numPr>
          <w:ilvl w:val="0"/>
          <w:numId w:val="29"/>
        </w:numPr>
      </w:pPr>
      <w:r>
        <w:t>Hanke ei saa olla poissulkemisluettelon mukainen hanke.</w:t>
      </w:r>
    </w:p>
    <w:p w14:paraId="442CDE3C" w14:textId="77777777" w:rsidR="006D2C1C" w:rsidRDefault="1E290AE8" w:rsidP="007A73FB">
      <w:pPr>
        <w:pStyle w:val="VMleipteksti"/>
        <w:numPr>
          <w:ilvl w:val="0"/>
          <w:numId w:val="29"/>
        </w:numPr>
        <w:spacing w:after="240"/>
      </w:pPr>
      <w:r>
        <w:t>Hanke tulee toteuttaa kansallisen ja EU:n ympäristölainsäädännön mukaisesti.</w:t>
      </w:r>
    </w:p>
    <w:p w14:paraId="6F06A514" w14:textId="3F0A37C5" w:rsidR="00621104" w:rsidRDefault="1E290AE8" w:rsidP="007A73FB">
      <w:pPr>
        <w:pStyle w:val="VMleipteksti"/>
        <w:spacing w:after="240"/>
        <w:ind w:left="0"/>
      </w:pPr>
      <w:r>
        <w:t>Kaksivaiheinen arvio on tehtävissä Business Finlandin sähköisessä asiointipalvelussa. Lisätietoja erityisesti poissulkemisluettelon mukaisuudesta sekä kansallisen ja EU:n ympäristölainsäädännönmukaisuudesta voi antaa myös RRF-tukihakemuslomakkeessa, joka toimitetaan asiointipalveluun liitteenä.</w:t>
      </w:r>
    </w:p>
    <w:p w14:paraId="7B726510" w14:textId="77777777" w:rsidR="006D2C1C" w:rsidRPr="007A73FB" w:rsidRDefault="1E290AE8" w:rsidP="1E290AE8">
      <w:pPr>
        <w:pStyle w:val="VMleipteksti"/>
        <w:spacing w:after="240"/>
        <w:ind w:left="0"/>
        <w:rPr>
          <w:u w:val="single"/>
        </w:rPr>
      </w:pPr>
      <w:r w:rsidRPr="1E290AE8">
        <w:rPr>
          <w:u w:val="single"/>
        </w:rPr>
        <w:t>Kaksivaiheinen arvio teknisen ohjeistuksen mukaisesti</w:t>
      </w:r>
    </w:p>
    <w:p w14:paraId="73545B68" w14:textId="77777777" w:rsidR="006D2C1C" w:rsidRPr="006E1305" w:rsidRDefault="1E290AE8" w:rsidP="1E290AE8">
      <w:pPr>
        <w:pStyle w:val="VMleipteksti"/>
        <w:spacing w:after="240"/>
        <w:ind w:left="0"/>
        <w:rPr>
          <w:b/>
          <w:bCs/>
        </w:rPr>
      </w:pPr>
      <w:r>
        <w:t>Tuen hakijan on esitettävä arvio ympäristövaikutuksen merkittävyydestä, ja jos ympäristövaikutus on merkittävä, yksityiskohtainen arvio siitä, aiheuttaako hanke merkittävää haittaa. Hanke ei saa aiheuttaa merkittävää haittaa millekään kuudesta ympäristötavoitteesta.</w:t>
      </w:r>
    </w:p>
    <w:p w14:paraId="6AE6B742" w14:textId="77777777" w:rsidR="006D2C1C" w:rsidRDefault="1E290AE8" w:rsidP="007A73FB">
      <w:pPr>
        <w:pStyle w:val="VMleipteksti"/>
        <w:spacing w:after="240"/>
        <w:ind w:left="0"/>
      </w:pPr>
      <w:r>
        <w:t>Hanke aiheuttaa merkittävää haittaa</w:t>
      </w:r>
    </w:p>
    <w:p w14:paraId="242CE8AA" w14:textId="77777777" w:rsidR="006D2C1C" w:rsidRDefault="1E290AE8" w:rsidP="00D41B54">
      <w:pPr>
        <w:pStyle w:val="ListParagraph"/>
        <w:numPr>
          <w:ilvl w:val="0"/>
          <w:numId w:val="16"/>
        </w:numPr>
      </w:pPr>
      <w:r>
        <w:t>ilmastonmuutoksen hillinnälle,</w:t>
      </w:r>
    </w:p>
    <w:p w14:paraId="69E69886" w14:textId="77777777" w:rsidR="006D2C1C" w:rsidRDefault="1E290AE8" w:rsidP="007A73FB">
      <w:pPr>
        <w:spacing w:after="240"/>
        <w:ind w:firstLine="720"/>
      </w:pPr>
      <w:r>
        <w:t>- jos kyseinen toiminta aiheuttaa merkittäviä kasvihuonekaasupäästöjä;</w:t>
      </w:r>
    </w:p>
    <w:p w14:paraId="27A4B77D" w14:textId="77777777" w:rsidR="006D2C1C" w:rsidRDefault="1E290AE8" w:rsidP="00D41B54">
      <w:pPr>
        <w:pStyle w:val="ListParagraph"/>
        <w:numPr>
          <w:ilvl w:val="0"/>
          <w:numId w:val="16"/>
        </w:numPr>
      </w:pPr>
      <w:r>
        <w:t>ilmastonmuutokseen sopeutumiselle,</w:t>
      </w:r>
    </w:p>
    <w:p w14:paraId="751FF546" w14:textId="77777777" w:rsidR="006D2C1C" w:rsidRDefault="1E290AE8" w:rsidP="006D2C1C">
      <w:pPr>
        <w:ind w:firstLine="720"/>
      </w:pPr>
      <w:r>
        <w:t>- jos kyseinen toiminta lisää nykyisen ilmaston ja odotettavissa olevan tulevan ilmaston</w:t>
      </w:r>
    </w:p>
    <w:p w14:paraId="6611677A" w14:textId="77777777" w:rsidR="006D2C1C" w:rsidRDefault="1E290AE8" w:rsidP="007A73FB">
      <w:pPr>
        <w:spacing w:after="240"/>
        <w:ind w:firstLine="720"/>
      </w:pPr>
      <w:r>
        <w:t>haitallista vaikutusta kyseiseen toimintaan tai ihmisiin, luontoon tai omaisuuteen;</w:t>
      </w:r>
    </w:p>
    <w:p w14:paraId="6DF48398" w14:textId="77777777" w:rsidR="006D2C1C" w:rsidRDefault="1E290AE8" w:rsidP="00D41B54">
      <w:pPr>
        <w:pStyle w:val="ListParagraph"/>
        <w:numPr>
          <w:ilvl w:val="0"/>
          <w:numId w:val="16"/>
        </w:numPr>
      </w:pPr>
      <w:r>
        <w:t>vesivarojen ja merten luonnonvarojen kestävälle käytölle ja suojelulle, jos kyseinen toiminta heikentää</w:t>
      </w:r>
    </w:p>
    <w:p w14:paraId="586949E4" w14:textId="77777777" w:rsidR="006D2C1C" w:rsidRDefault="1E290AE8" w:rsidP="006D2C1C">
      <w:pPr>
        <w:ind w:left="720"/>
      </w:pPr>
      <w:r>
        <w:t>- vesimuodostumien hyvää tilaa tai hyvää ekologista potentiaalia, mukaan lukien pintavedet ja pohjavedet; tai</w:t>
      </w:r>
    </w:p>
    <w:p w14:paraId="5A448A6A" w14:textId="77777777" w:rsidR="006D2C1C" w:rsidRDefault="1E290AE8" w:rsidP="007A73FB">
      <w:pPr>
        <w:spacing w:after="240"/>
        <w:ind w:firstLine="720"/>
      </w:pPr>
      <w:r>
        <w:t>- merivesien osalta ympäristön hyvää tilaa;</w:t>
      </w:r>
    </w:p>
    <w:p w14:paraId="2B9D060B" w14:textId="77777777" w:rsidR="006D2C1C" w:rsidRDefault="1E290AE8" w:rsidP="00D41B54">
      <w:pPr>
        <w:pStyle w:val="ListParagraph"/>
        <w:numPr>
          <w:ilvl w:val="0"/>
          <w:numId w:val="16"/>
        </w:numPr>
      </w:pPr>
      <w:r>
        <w:t>kiertotaloudelle, mukaan lukien jätteen synnyn ehkäisy ja kierrätys, jos</w:t>
      </w:r>
    </w:p>
    <w:p w14:paraId="41FDA5F8" w14:textId="77777777" w:rsidR="006D2C1C" w:rsidRDefault="1E290AE8" w:rsidP="006D2C1C">
      <w:pPr>
        <w:ind w:left="720"/>
      </w:pPr>
      <w:r>
        <w:t>- kyseinen toiminta aiheuttaa huomattavaa tehottomuutta materiaalien käytössä tai</w:t>
      </w:r>
    </w:p>
    <w:p w14:paraId="3AD4E9FE" w14:textId="77777777" w:rsidR="006D2C1C" w:rsidRDefault="1E290AE8" w:rsidP="006D2C1C">
      <w:pPr>
        <w:ind w:left="720"/>
      </w:pPr>
      <w:r>
        <w:t>luonnonvarojen kuten uusiutumattomien energialähteiden, raaka-aineiden, veden ja maan</w:t>
      </w:r>
    </w:p>
    <w:p w14:paraId="15219961" w14:textId="77777777" w:rsidR="006D2C1C" w:rsidRDefault="1E290AE8" w:rsidP="006D2C1C">
      <w:pPr>
        <w:ind w:left="720"/>
      </w:pPr>
      <w:r>
        <w:lastRenderedPageBreak/>
        <w:t>suorassa tai epäsuorassa käytössä tuotteiden elinkaaren yhdessä tai useammassa vaiheessa,</w:t>
      </w:r>
    </w:p>
    <w:p w14:paraId="4505EB7D" w14:textId="77777777" w:rsidR="006D2C1C" w:rsidRDefault="1E290AE8" w:rsidP="006D2C1C">
      <w:pPr>
        <w:ind w:left="720"/>
      </w:pPr>
      <w:r>
        <w:t>myös tuotteiden kestävyyden, korjattavuuden, päivitettävyyden, uudelleenkäytettävyyden tai</w:t>
      </w:r>
    </w:p>
    <w:p w14:paraId="0F27FEAB" w14:textId="77777777" w:rsidR="006D2C1C" w:rsidRDefault="1E290AE8" w:rsidP="006D2C1C">
      <w:pPr>
        <w:ind w:left="720"/>
      </w:pPr>
      <w:r>
        <w:t>kierrätettävyyden osalta;</w:t>
      </w:r>
    </w:p>
    <w:p w14:paraId="0C619AF3" w14:textId="77777777" w:rsidR="006D2C1C" w:rsidRDefault="1E290AE8" w:rsidP="006D2C1C">
      <w:pPr>
        <w:ind w:left="720"/>
      </w:pPr>
      <w:r>
        <w:t>- kyseinen toiminta lisää merkittävästi jätteen syntymistä, polttamista tai hävittämistä, lukuun ottamatta kierrätykseen kelpaamattoman vaarallisen jätteen polttamista; tai</w:t>
      </w:r>
    </w:p>
    <w:p w14:paraId="178211EE" w14:textId="77777777" w:rsidR="006D2C1C" w:rsidRDefault="1E290AE8" w:rsidP="006D2C1C">
      <w:pPr>
        <w:ind w:left="720"/>
      </w:pPr>
      <w:r>
        <w:t>- jätteen pitkäaikainen loppusijoitus voi aiheuttaa merkittävää ja pitkäaikaista haittaa</w:t>
      </w:r>
    </w:p>
    <w:p w14:paraId="73F68D08" w14:textId="77777777" w:rsidR="006D2C1C" w:rsidRDefault="1E290AE8" w:rsidP="007A73FB">
      <w:pPr>
        <w:spacing w:after="240"/>
        <w:ind w:left="720"/>
      </w:pPr>
      <w:r>
        <w:t>ympäristölle;</w:t>
      </w:r>
    </w:p>
    <w:p w14:paraId="4FBE6866" w14:textId="77777777" w:rsidR="006D2C1C" w:rsidRDefault="1E290AE8" w:rsidP="00D41B54">
      <w:pPr>
        <w:pStyle w:val="ListParagraph"/>
        <w:numPr>
          <w:ilvl w:val="0"/>
          <w:numId w:val="16"/>
        </w:numPr>
      </w:pPr>
      <w:r>
        <w:t>ympäristön pilaantumisen ehkäisemiselle ja vähentämiselle,</w:t>
      </w:r>
    </w:p>
    <w:p w14:paraId="56B7F7B5" w14:textId="77777777" w:rsidR="006D2C1C" w:rsidRDefault="1E290AE8" w:rsidP="007A73FB">
      <w:pPr>
        <w:spacing w:after="240"/>
        <w:ind w:left="720"/>
      </w:pPr>
      <w:r>
        <w:t>- jos toiminta lisää merkittävästi ilmaan, veteen tai maaperään kohdistuvia epäpuhtauspäästöjä verrattuna tilanteeseen ennen toiminnan aloittamista; tai</w:t>
      </w:r>
    </w:p>
    <w:p w14:paraId="178AC6FB" w14:textId="77777777" w:rsidR="006D2C1C" w:rsidRDefault="1E290AE8" w:rsidP="00D41B54">
      <w:pPr>
        <w:pStyle w:val="ListParagraph"/>
        <w:numPr>
          <w:ilvl w:val="0"/>
          <w:numId w:val="16"/>
        </w:numPr>
      </w:pPr>
      <w:r>
        <w:t>biologisen monimuotoisuuden ja ekosysteemien suojelulle ja ennallistamiselle, jos kyseinen toiminta</w:t>
      </w:r>
    </w:p>
    <w:p w14:paraId="42004CBF" w14:textId="77777777" w:rsidR="006D2C1C" w:rsidRDefault="1E290AE8" w:rsidP="006D2C1C">
      <w:pPr>
        <w:ind w:firstLine="720"/>
      </w:pPr>
      <w:r>
        <w:t>- merkittävästi heikentää ekosysteemien hyvää tilaa ja sietokykyä; tai</w:t>
      </w:r>
    </w:p>
    <w:p w14:paraId="208D12C1" w14:textId="77777777" w:rsidR="006D2C1C" w:rsidRDefault="1E290AE8" w:rsidP="006D2C1C">
      <w:pPr>
        <w:ind w:left="720"/>
      </w:pPr>
      <w:r>
        <w:t>- heikentää luontotyyppien ja lajien suojelutilannetta, mukaan lukien unionin edun kannalta</w:t>
      </w:r>
    </w:p>
    <w:p w14:paraId="5F154802" w14:textId="77777777" w:rsidR="006D2C1C" w:rsidRDefault="1E290AE8" w:rsidP="007A73FB">
      <w:pPr>
        <w:spacing w:after="240"/>
        <w:ind w:left="720"/>
      </w:pPr>
      <w:r>
        <w:t>merkittävät luontotyypit ja lajit.</w:t>
      </w:r>
    </w:p>
    <w:p w14:paraId="7B7B9F0A" w14:textId="00A212CD" w:rsidR="006D2C1C" w:rsidRDefault="006D2C1C" w:rsidP="007A73FB">
      <w:pPr>
        <w:pStyle w:val="VMleipteksti"/>
        <w:spacing w:after="240"/>
        <w:ind w:left="0"/>
      </w:pPr>
      <w:r>
        <w:t xml:space="preserve">Esimerkkejä </w:t>
      </w:r>
      <w:r w:rsidR="00093768">
        <w:t>arvioinnista</w:t>
      </w:r>
      <w:r>
        <w:t xml:space="preserve"> löytyy komission</w:t>
      </w:r>
      <w:r w:rsidR="00C47F89">
        <w:t xml:space="preserve"> teknis</w:t>
      </w:r>
      <w:r w:rsidR="00E9465D">
        <w:t>i</w:t>
      </w:r>
      <w:r w:rsidR="00C47F89">
        <w:t>stä</w:t>
      </w:r>
      <w:r>
        <w:t xml:space="preserve"> ohje</w:t>
      </w:r>
      <w:r w:rsidR="00E9465D">
        <w:t>i</w:t>
      </w:r>
      <w:r>
        <w:t>sta</w:t>
      </w:r>
      <w:r w:rsidR="00E9465D">
        <w:rPr>
          <w:rStyle w:val="FootnoteReference"/>
        </w:rPr>
        <w:footnoteReference w:id="8"/>
      </w:r>
      <w:r w:rsidR="00C47F89">
        <w:t xml:space="preserve"> liitteestä IV</w:t>
      </w:r>
      <w:r w:rsidR="00781305">
        <w:t xml:space="preserve"> sekä Suomen kestävän kasvun ohjelman osana valmistellusta arviosta liitteessä 3, sivuilla 430-435 ja 438-442</w:t>
      </w:r>
      <w:r w:rsidRPr="6B5AC2E7">
        <w:t>:</w:t>
      </w:r>
    </w:p>
    <w:p w14:paraId="088E1FC2" w14:textId="7B99604B" w:rsidR="00781305" w:rsidRDefault="00620FF9" w:rsidP="006E1305">
      <w:pPr>
        <w:pStyle w:val="ListParagraph"/>
        <w:numPr>
          <w:ilvl w:val="0"/>
          <w:numId w:val="43"/>
        </w:numPr>
      </w:pPr>
      <w:hyperlink r:id="rId16" w:history="1">
        <w:r w:rsidR="002C6046">
          <w:rPr>
            <w:rStyle w:val="Hyperlink"/>
          </w:rPr>
          <w:t>Tekniset ohjeet ”ei merkittävää haittaa” –periaatteen soveltamisek</w:t>
        </w:r>
        <w:r w:rsidR="003C1281">
          <w:rPr>
            <w:rStyle w:val="Hyperlink"/>
          </w:rPr>
          <w:t>si elpymis- ja palautumistukivä</w:t>
        </w:r>
        <w:r w:rsidR="002C6046">
          <w:rPr>
            <w:rStyle w:val="Hyperlink"/>
          </w:rPr>
          <w:t>linettä koskevan asetuksen mukaisesti (2021/C 58/01)</w:t>
        </w:r>
      </w:hyperlink>
    </w:p>
    <w:p w14:paraId="5C54358D" w14:textId="4E1FF913" w:rsidR="006D2C1C" w:rsidRDefault="00620FF9" w:rsidP="006E1305">
      <w:pPr>
        <w:pStyle w:val="VMleipteksti"/>
        <w:numPr>
          <w:ilvl w:val="0"/>
          <w:numId w:val="43"/>
        </w:numPr>
      </w:pPr>
      <w:hyperlink r:id="rId17" w:history="1">
        <w:r w:rsidR="00586407">
          <w:rPr>
            <w:rStyle w:val="Hyperlink"/>
          </w:rPr>
          <w:t>Suomen kestävän kasvun ohjelma: Elpymis- ja palautumissuunnitelma</w:t>
        </w:r>
      </w:hyperlink>
    </w:p>
    <w:p w14:paraId="2E6BBD7E" w14:textId="633289E5" w:rsidR="003A1D6A" w:rsidRDefault="1E290AE8" w:rsidP="1E290AE8">
      <w:pPr>
        <w:pStyle w:val="VMleipteksti"/>
        <w:spacing w:before="240" w:after="240"/>
        <w:ind w:left="0"/>
        <w:rPr>
          <w:u w:val="single"/>
        </w:rPr>
      </w:pPr>
      <w:r w:rsidRPr="1E290AE8">
        <w:rPr>
          <w:u w:val="single"/>
        </w:rPr>
        <w:t>Hakemukseen tulee merkitä kohtaan 7 kuuluuko hanke päästökauppalain (311/2011) soveltamisalan piiriin.</w:t>
      </w:r>
    </w:p>
    <w:p w14:paraId="611348D3" w14:textId="52309FB5" w:rsidR="006D2C1C" w:rsidRPr="007A73FB" w:rsidRDefault="1E290AE8" w:rsidP="1E290AE8">
      <w:pPr>
        <w:pStyle w:val="VMleipteksti"/>
        <w:spacing w:before="240" w:after="240"/>
        <w:ind w:left="0"/>
        <w:rPr>
          <w:u w:val="single"/>
        </w:rPr>
      </w:pPr>
      <w:r w:rsidRPr="1E290AE8">
        <w:rPr>
          <w:u w:val="single"/>
        </w:rPr>
        <w:t>Poissulkemisluettelon mukaisuus</w:t>
      </w:r>
    </w:p>
    <w:p w14:paraId="444E0650" w14:textId="300A4637" w:rsidR="006D2C1C" w:rsidRDefault="1E290AE8" w:rsidP="007A73FB">
      <w:pPr>
        <w:pStyle w:val="VMleipteksti"/>
        <w:spacing w:after="240"/>
        <w:ind w:left="0"/>
      </w:pPr>
      <w:r>
        <w:t>Hanke ei saa sisältää poissulkemisluettelon mukaisia toimintoja. Hakijan tulee antaa riittävät tiedot, joiden avulla voidaan varmistua, ettei hanke ole poissulkemisluettelon mukainen hanke.</w:t>
      </w:r>
    </w:p>
    <w:p w14:paraId="55C724D3" w14:textId="3D98DEB8" w:rsidR="006D2C1C" w:rsidRDefault="006D2C1C" w:rsidP="007A73FB">
      <w:pPr>
        <w:pStyle w:val="VMleipteksti"/>
        <w:spacing w:after="240"/>
        <w:ind w:left="0"/>
      </w:pPr>
      <w:r>
        <w:t xml:space="preserve">Alla on esitetty </w:t>
      </w:r>
      <w:r w:rsidRPr="00936E40">
        <w:t>Euroopan unionin</w:t>
      </w:r>
      <w:r>
        <w:t xml:space="preserve"> neuvoston täytäntöönpanopäätökse</w:t>
      </w:r>
      <w:r w:rsidRPr="00BA6332">
        <w:t>n</w:t>
      </w:r>
      <w:r w:rsidR="00645CE1">
        <w:rPr>
          <w:rStyle w:val="FootnoteReference"/>
        </w:rPr>
        <w:footnoteReference w:id="9"/>
      </w:r>
      <w:r>
        <w:t xml:space="preserve"> liitteeseen perustuvan poissulkemisluettelon sisältö. Suomen kestävän kasvun ohjelman tavoitteet, toimenpiteiden kuvaukset ja ei merkittävää haittaa -periaatteen mukaisuuden arvio ohjelman liitteessä 3 rajaavat hanketyyppejä osittain tiukemmin kuin alla kuvattu poissulkemisluettelon sisältö.</w:t>
      </w:r>
    </w:p>
    <w:p w14:paraId="52735663" w14:textId="0C2A7821" w:rsidR="006D2C1C" w:rsidRDefault="1E290AE8" w:rsidP="007A73FB">
      <w:pPr>
        <w:pStyle w:val="VMleipteksti"/>
        <w:spacing w:after="240"/>
        <w:ind w:left="0"/>
      </w:pPr>
      <w:r>
        <w:t>Poissulkemisluettelon mukaan tukea ei voida myöntää:</w:t>
      </w:r>
    </w:p>
    <w:p w14:paraId="1DD362EA" w14:textId="77777777" w:rsidR="006D2C1C" w:rsidRDefault="1E290AE8" w:rsidP="00D41B54">
      <w:pPr>
        <w:pStyle w:val="ListParagraph"/>
        <w:numPr>
          <w:ilvl w:val="0"/>
          <w:numId w:val="14"/>
        </w:numPr>
      </w:pPr>
      <w:r>
        <w:t xml:space="preserve">fossiilisiin polttoaineisiin liittyviin toimintoihin, mukaan lukien tuotantoketjun loppupään käyttö. </w:t>
      </w:r>
    </w:p>
    <w:p w14:paraId="5186720A" w14:textId="620A7ED8" w:rsidR="006D2C1C" w:rsidRDefault="1E290AE8" w:rsidP="007A73FB">
      <w:pPr>
        <w:pStyle w:val="ListParagraph"/>
        <w:numPr>
          <w:ilvl w:val="1"/>
          <w:numId w:val="14"/>
        </w:numPr>
        <w:spacing w:after="240"/>
      </w:pPr>
      <w:r>
        <w:t xml:space="preserve">Poikkeuksena tukea voidaan kuitenkin myöntää sellaiselle maakaasua käyttävälle toiminnolle, joka koskee sähkön tai lämmön tuotantoa tai siihen liittyvään maakaasun siirto- ja jakeluinfrastruktuuriin liittyvään toimintoon. Tuen myöntäminen edellyttää kuitenkin tällöin myös sitä, että kyseiset toiminnot täyttävät komission teknisten ohjeiden liitteessä III esitetyt erityisehdot. </w:t>
      </w:r>
    </w:p>
    <w:p w14:paraId="2DD1CAF7" w14:textId="13021641" w:rsidR="006D2C1C" w:rsidRDefault="006D2C1C" w:rsidP="007A73FB">
      <w:pPr>
        <w:pStyle w:val="ListParagraph"/>
        <w:spacing w:after="240"/>
        <w:ind w:left="1440"/>
      </w:pPr>
    </w:p>
    <w:p w14:paraId="64643DB2" w14:textId="787C186A" w:rsidR="006D2C1C" w:rsidRDefault="1E290AE8" w:rsidP="007A73FB">
      <w:pPr>
        <w:pStyle w:val="ListParagraph"/>
        <w:numPr>
          <w:ilvl w:val="0"/>
          <w:numId w:val="14"/>
        </w:numPr>
        <w:spacing w:before="240"/>
      </w:pPr>
      <w:r>
        <w:lastRenderedPageBreak/>
        <w:t xml:space="preserve">Euroopan unionin päästökauppajärjestelmän mukaisiin toimintoihin, joiden ennakoidut kasvihuonekaasupäästöt eivät alita asiaankuuluvia vertailuarvoja. Päästökauppajärjestelmän soveltamisalaan kuuluville toiminnoille laaditut vertailuarvot päästöoikeuksien jakamiseksi maksutta määräytyvät </w:t>
      </w:r>
      <w:hyperlink r:id="rId18">
        <w:r w:rsidRPr="1E290AE8">
          <w:rPr>
            <w:rStyle w:val="Hyperlink"/>
          </w:rPr>
          <w:t xml:space="preserve">komission täytäntöönpanoasetuksen (EU) 2021/447 </w:t>
        </w:r>
      </w:hyperlink>
      <w:r>
        <w:t xml:space="preserve"> mukaisesti. </w:t>
      </w:r>
    </w:p>
    <w:p w14:paraId="749FB8F1" w14:textId="5B844B8E" w:rsidR="006D2C1C" w:rsidRDefault="1E290AE8" w:rsidP="007A73FB">
      <w:pPr>
        <w:pStyle w:val="ListParagraph"/>
        <w:numPr>
          <w:ilvl w:val="1"/>
          <w:numId w:val="14"/>
        </w:numPr>
        <w:spacing w:after="240"/>
      </w:pPr>
      <w:r>
        <w:t xml:space="preserve">Poikkeuksena tukea voitaisiin myöntää toiminnolle, jolla saavutettavat ennakoidut kasvihuonekaasupäästöt eivät merkittävästi alita asianomaisia vertailuarvoja, jos tuen hakija antaisi hyväksyttävän selvityksen syistä, joiden vuoksi tämä ei ole mahdollista. Tuen hakijalta voidaan edellyttää kolmannen osapuolen arviota edellä mainitusta. </w:t>
      </w:r>
    </w:p>
    <w:p w14:paraId="0B56F911" w14:textId="77777777" w:rsidR="000960D1" w:rsidRPr="00595405" w:rsidRDefault="000960D1" w:rsidP="00595405">
      <w:pPr>
        <w:pStyle w:val="ListParagraph"/>
        <w:ind w:left="1440"/>
      </w:pPr>
    </w:p>
    <w:p w14:paraId="245FEE43" w14:textId="2E5D42EC" w:rsidR="00285BA1" w:rsidRPr="006E1305" w:rsidRDefault="1E290AE8" w:rsidP="006E1305">
      <w:pPr>
        <w:pStyle w:val="ListParagraph"/>
        <w:ind w:left="1440"/>
      </w:pPr>
      <w:r>
        <w:t>Tukea ei voida myöntää hankkeisiin, joissa ennakoidut päästöt ylittävät asiaankuuluvat vertailuarvot.</w:t>
      </w:r>
    </w:p>
    <w:p w14:paraId="3BEFAD97" w14:textId="77777777" w:rsidR="00285BA1" w:rsidRDefault="00285BA1" w:rsidP="00285BA1">
      <w:pPr>
        <w:pStyle w:val="ListParagraph"/>
        <w:ind w:left="1440"/>
      </w:pPr>
    </w:p>
    <w:p w14:paraId="08AEB463" w14:textId="77777777" w:rsidR="006D2C1C" w:rsidRDefault="1E290AE8" w:rsidP="00D41B54">
      <w:pPr>
        <w:pStyle w:val="ListParagraph"/>
        <w:numPr>
          <w:ilvl w:val="0"/>
          <w:numId w:val="14"/>
        </w:numPr>
      </w:pPr>
      <w:r>
        <w:t xml:space="preserve">kaatopaikkoihin, jätteenpolttolaitoksiin ja mekaanisiin biologisiin käsittelylaitoksiin liittyviin toimintoihin. </w:t>
      </w:r>
    </w:p>
    <w:p w14:paraId="6CC9D9E0" w14:textId="49973783" w:rsidR="001412BD" w:rsidRDefault="1E290AE8" w:rsidP="00D41B54">
      <w:pPr>
        <w:pStyle w:val="ListParagraph"/>
        <w:numPr>
          <w:ilvl w:val="1"/>
          <w:numId w:val="14"/>
        </w:numPr>
      </w:pPr>
      <w:r>
        <w:t xml:space="preserve">Poikkeuksena tukea voidaan myöntää yksinomaan kierrätettäväksi kelpaamatonta vaarallista jätettä käsitteleviin jätteenpolttolaitoksiin liittyviin toimintoihin ja olemassa oleviin jätteenpolttolaitoksiin liittyviin toimintoihin. Kyseisten toimintojen tarkoituksena tulee olla energiatehokkuuden lisääminen, jätekaasujen talteenotto varastointia tai käyttöä varten, taikka materiaalien talteenotto jätteenpolttolaitoksen tuhkasta. </w:t>
      </w:r>
    </w:p>
    <w:p w14:paraId="19513FF5" w14:textId="77777777" w:rsidR="001412BD" w:rsidRDefault="001412BD" w:rsidP="001412BD">
      <w:pPr>
        <w:pStyle w:val="ListParagraph"/>
        <w:ind w:left="1440"/>
      </w:pPr>
    </w:p>
    <w:p w14:paraId="38AADE6A" w14:textId="77777777" w:rsidR="001412BD" w:rsidRDefault="1E290AE8" w:rsidP="007A73FB">
      <w:pPr>
        <w:pStyle w:val="ListParagraph"/>
        <w:spacing w:after="240"/>
        <w:ind w:left="1440"/>
      </w:pPr>
      <w:r>
        <w:t xml:space="preserve">Tukea voidaan lisäksi myöntää toimintoihin olemassa olevissa mekaanisissa biologisissa käsittelylaitoksissa, jos kyseisillä toiminnoilla lisätään laitoksen energiatehokkuutta tai asennetaan jälkikäteen kierrätysjärjestelmä eroteltujen jätteiden kierrätykseen biojätteen kompostoimiseksi tai anaerobiseksi mädätykseksi. </w:t>
      </w:r>
    </w:p>
    <w:p w14:paraId="278F5F3C" w14:textId="77777777" w:rsidR="001412BD" w:rsidRDefault="001412BD" w:rsidP="001412BD">
      <w:pPr>
        <w:pStyle w:val="ListParagraph"/>
        <w:ind w:left="1440"/>
      </w:pPr>
    </w:p>
    <w:p w14:paraId="314AEAAB" w14:textId="37E6AD33" w:rsidR="006D2C1C" w:rsidRDefault="1E290AE8" w:rsidP="007A73FB">
      <w:pPr>
        <w:pStyle w:val="ListParagraph"/>
        <w:spacing w:before="240"/>
        <w:ind w:left="1440"/>
      </w:pPr>
      <w:r>
        <w:t>Tuen myöntäminen edellyttää tällöin lisäksi, että kyseiset toiminnot eivät lisää laitoksen jätteenkäsittelykapasiteettia tai pidennä sen käyttöikää. Tuenhakijan on osoitettava kappaleessa mainittujen poikkeuksellisten edellytysten täyttyminen laitostasolla. Tuen hakijalta voidaan edellyttää kolmannen osapuolen arviota edellytysten täyttymisestä.</w:t>
      </w:r>
    </w:p>
    <w:p w14:paraId="22197E83" w14:textId="77777777" w:rsidR="006D2C1C" w:rsidRDefault="006D2C1C" w:rsidP="006D2C1C">
      <w:pPr>
        <w:pStyle w:val="ListParagraph"/>
        <w:ind w:left="1440"/>
      </w:pPr>
    </w:p>
    <w:p w14:paraId="471719A4" w14:textId="0E0F7D43" w:rsidR="006D2C1C" w:rsidRDefault="1E290AE8" w:rsidP="00D41B54">
      <w:pPr>
        <w:pStyle w:val="ListParagraph"/>
        <w:numPr>
          <w:ilvl w:val="0"/>
          <w:numId w:val="14"/>
        </w:numPr>
      </w:pPr>
      <w:r>
        <w:t>toimintaan, jossa jätteen pitkäaikainen loppusijoitus voi aiheuttaa haittaa ympäristölle.</w:t>
      </w:r>
    </w:p>
    <w:p w14:paraId="0D697E4D" w14:textId="77777777" w:rsidR="006D2C1C" w:rsidRPr="007A73FB" w:rsidRDefault="1E290AE8" w:rsidP="1E290AE8">
      <w:pPr>
        <w:pStyle w:val="VMleipteksti"/>
        <w:spacing w:before="240" w:after="240"/>
        <w:ind w:left="0"/>
        <w:rPr>
          <w:u w:val="single"/>
        </w:rPr>
      </w:pPr>
      <w:r w:rsidRPr="1E290AE8">
        <w:rPr>
          <w:u w:val="single"/>
        </w:rPr>
        <w:t>Ympäristölainsäädännön mukaisuus</w:t>
      </w:r>
    </w:p>
    <w:p w14:paraId="7AC54290" w14:textId="511532F1" w:rsidR="006D2C1C" w:rsidRPr="006E1305" w:rsidRDefault="1E290AE8" w:rsidP="1E290AE8">
      <w:pPr>
        <w:pStyle w:val="VMleipteksti"/>
        <w:spacing w:after="240"/>
        <w:ind w:left="0"/>
        <w:rPr>
          <w:b/>
          <w:bCs/>
        </w:rPr>
      </w:pPr>
      <w:r>
        <w:t>Hakijan tulee vakuuttaa, että hanke on EU:n ja kansallisen ympäristölainsäädännön mukainen. Tuen hakijalta voidaan edellyttää tietoja ympäristövaikutuksiin liittyvistä luvista ja näiden käsittelytilanteesta.</w:t>
      </w:r>
    </w:p>
    <w:p w14:paraId="225CAB49" w14:textId="77777777" w:rsidR="006D2C1C" w:rsidRPr="00E001D1" w:rsidRDefault="1E290AE8" w:rsidP="006D2C1C">
      <w:pPr>
        <w:pStyle w:val="VMOtsikkonum2"/>
      </w:pPr>
      <w:bookmarkStart w:id="29" w:name="_Toc88747516"/>
      <w:bookmarkStart w:id="30" w:name="_Toc88818884"/>
      <w:bookmarkStart w:id="31" w:name="_Toc162447907"/>
      <w:r>
        <w:t>Tuen myöntämisen erityiset edellytykset</w:t>
      </w:r>
      <w:bookmarkEnd w:id="29"/>
      <w:bookmarkEnd w:id="30"/>
      <w:bookmarkEnd w:id="31"/>
    </w:p>
    <w:p w14:paraId="5823D1C1" w14:textId="77777777" w:rsidR="006D2C1C" w:rsidRDefault="1E290AE8" w:rsidP="007A73FB">
      <w:pPr>
        <w:pStyle w:val="VMleipteksti"/>
        <w:spacing w:after="240"/>
        <w:ind w:left="0"/>
      </w:pPr>
      <w:r>
        <w:t>Tuen myöntämiselle tietyille investoinneille on asetettu lisäedellytyksiä:</w:t>
      </w:r>
    </w:p>
    <w:p w14:paraId="651A1935" w14:textId="57BA89BF" w:rsidR="00855A21" w:rsidRPr="00C05038" w:rsidRDefault="1E290AE8" w:rsidP="006E1305">
      <w:pPr>
        <w:pStyle w:val="VMleipteksti"/>
        <w:spacing w:after="240"/>
        <w:ind w:left="0"/>
      </w:pPr>
      <w:r>
        <w:t>Tukea ei voida myöntää sellaiselle energiatehokkuustoimenpiteelle, jonka tarkoituksena on ainoastaan varmistaa, että tuen saaja noudattaa jo hyväksyttyjä Euroopan unionin normeja, vaikka ne eivät olisi vielä voimassa.</w:t>
      </w:r>
      <w:r w:rsidR="003A1D6A">
        <w:br/>
      </w:r>
    </w:p>
    <w:p w14:paraId="13D44A76" w14:textId="2183B95A" w:rsidR="00A34654" w:rsidRPr="00203840" w:rsidRDefault="1E290AE8" w:rsidP="007A73FB">
      <w:pPr>
        <w:pStyle w:val="VMOtsikkonum1"/>
      </w:pPr>
      <w:bookmarkStart w:id="32" w:name="_Toc88747517"/>
      <w:bookmarkStart w:id="33" w:name="_Toc88818885"/>
      <w:bookmarkStart w:id="34" w:name="_Toc162447908"/>
      <w:r w:rsidRPr="00203840">
        <w:lastRenderedPageBreak/>
        <w:t>Tuen enimmäismäärä</w:t>
      </w:r>
      <w:bookmarkEnd w:id="32"/>
      <w:bookmarkEnd w:id="33"/>
      <w:bookmarkEnd w:id="34"/>
    </w:p>
    <w:p w14:paraId="317BDB50" w14:textId="66EA61EC" w:rsidR="00034F17" w:rsidRPr="00203840" w:rsidRDefault="1E290AE8" w:rsidP="007A73FB">
      <w:pPr>
        <w:pStyle w:val="VMleipteksti"/>
        <w:spacing w:after="240"/>
        <w:ind w:left="0"/>
      </w:pPr>
      <w:r w:rsidRPr="00203840">
        <w:t xml:space="preserve">Tuen myöntäminen ja yksittäisen myönnettävän tuen tuki-intensiteetti perustuvat aina tapauskohtaiseen harkintaan ja arvioon vähimmäistukitarpeesta hankkeen käynnistämiseksi. </w:t>
      </w:r>
    </w:p>
    <w:p w14:paraId="361CFE7C" w14:textId="77777777" w:rsidR="00CE3134" w:rsidRPr="00C60007" w:rsidRDefault="1E290AE8" w:rsidP="00CE3134">
      <w:pPr>
        <w:pStyle w:val="VMleipteksti"/>
        <w:spacing w:after="240"/>
        <w:ind w:left="0"/>
        <w:rPr>
          <w:u w:val="single"/>
        </w:rPr>
      </w:pPr>
      <w:r w:rsidRPr="00C60007">
        <w:rPr>
          <w:u w:val="single"/>
        </w:rPr>
        <w:t>Tuen osuus hyväksyttävistä kustannuksista voi olla:</w:t>
      </w:r>
    </w:p>
    <w:p w14:paraId="596C5D61" w14:textId="77777777" w:rsidR="00CE3134" w:rsidRPr="00C60007" w:rsidRDefault="00CE3134" w:rsidP="00CE3134">
      <w:pPr>
        <w:pStyle w:val="VMleipteksti"/>
        <w:numPr>
          <w:ilvl w:val="0"/>
          <w:numId w:val="43"/>
        </w:numPr>
        <w:spacing w:after="240"/>
        <w:rPr>
          <w:u w:val="single"/>
        </w:rPr>
      </w:pPr>
      <w:r w:rsidRPr="00C60007">
        <w:t xml:space="preserve">energiainfrastruktuurihankkeessa (P1C1I1): </w:t>
      </w:r>
    </w:p>
    <w:p w14:paraId="3B760A0B" w14:textId="77777777" w:rsidR="00CE3134" w:rsidRPr="00C60007" w:rsidRDefault="00CE3134" w:rsidP="00CE3134">
      <w:pPr>
        <w:pStyle w:val="VMleipteksti"/>
        <w:numPr>
          <w:ilvl w:val="1"/>
          <w:numId w:val="43"/>
        </w:numPr>
        <w:spacing w:after="240"/>
        <w:rPr>
          <w:u w:val="single"/>
        </w:rPr>
      </w:pPr>
      <w:r w:rsidRPr="00C60007">
        <w:t>hankkeessa, joka kohdistuu hukkalämmön, hukkakylmän ja uusiutuvan energian hyödyntämiseen ja siirtoon kaukolämmitysjärjestelmiin ja näihin liittyviin älykkäisiin ratkaisuihin, enintään 45 %</w:t>
      </w:r>
    </w:p>
    <w:p w14:paraId="62F3443A" w14:textId="77777777" w:rsidR="00CE3134" w:rsidRPr="00C60007" w:rsidRDefault="00CE3134" w:rsidP="00CE3134">
      <w:pPr>
        <w:pStyle w:val="VMleipteksti"/>
        <w:numPr>
          <w:ilvl w:val="1"/>
          <w:numId w:val="43"/>
        </w:numPr>
        <w:spacing w:after="240"/>
        <w:rPr>
          <w:u w:val="single"/>
        </w:rPr>
      </w:pPr>
      <w:r w:rsidRPr="00C60007">
        <w:t>hankkeessa, joka kohdistuu sähkön siirtoon ja jakeluun ja näihin liittyviin sähkön kantaverkonhaltijan ja jakeluverkon-haltijoiden toteuttamiin älykkäisiin ratkaisuihin, joilla liitetään uusiutuvaa energiaa kantaverkkoon ja otetaan uusia innovatiivisia teknologioita käyttöön jakeluverkossa, enintään 50 %</w:t>
      </w:r>
    </w:p>
    <w:p w14:paraId="070D0DE4" w14:textId="08B42EEB" w:rsidR="00352963" w:rsidRPr="00CE3134" w:rsidRDefault="00CE3134" w:rsidP="00CE3134">
      <w:pPr>
        <w:pStyle w:val="VMleipteksti"/>
        <w:numPr>
          <w:ilvl w:val="1"/>
          <w:numId w:val="43"/>
        </w:numPr>
        <w:spacing w:after="240"/>
        <w:rPr>
          <w:u w:val="single"/>
        </w:rPr>
      </w:pPr>
      <w:r w:rsidRPr="00C60007">
        <w:t>hankkeessa, joka kohdistuu vähähiilisen kaasun siirtoon ja jakeluun sekä näihin liittyviin älykkäisiin ratkaisuihin, enintään 50 %</w:t>
      </w:r>
      <w:r w:rsidR="00352963">
        <w:br/>
      </w:r>
    </w:p>
    <w:p w14:paraId="78CC237A" w14:textId="01929838" w:rsidR="00A34654" w:rsidRPr="004E2858" w:rsidRDefault="1E290AE8" w:rsidP="007A73FB">
      <w:pPr>
        <w:pStyle w:val="VMOtsikkonum1"/>
      </w:pPr>
      <w:bookmarkStart w:id="35" w:name="_Toc88747518"/>
      <w:bookmarkStart w:id="36" w:name="_Toc88818886"/>
      <w:bookmarkStart w:id="37" w:name="_Toc162447909"/>
      <w:r>
        <w:t>Hyväksyttävät kustannukset</w:t>
      </w:r>
      <w:bookmarkEnd w:id="35"/>
      <w:bookmarkEnd w:id="36"/>
      <w:bookmarkEnd w:id="37"/>
    </w:p>
    <w:p w14:paraId="52542A2D" w14:textId="1CB25992" w:rsidR="00B17ED7" w:rsidRDefault="1E290AE8" w:rsidP="007A73FB">
      <w:pPr>
        <w:pStyle w:val="VMleipteksti"/>
        <w:ind w:left="0"/>
      </w:pPr>
      <w:r>
        <w:t>Yksittäisessä tuen myöntämistä koskevassa päätöksessä ratkaistaan aina tapauskohtaisesti, miltä osin kustannukset hyväksytään. Harkintavaltaa ohjaavat hallintolaista ilmenevät yleiset hallinto-oikeudelliset periaatteet.</w:t>
      </w:r>
    </w:p>
    <w:p w14:paraId="0123071E" w14:textId="48FA3D73" w:rsidR="00CA1F5E" w:rsidRDefault="00CA1F5E" w:rsidP="007A73FB">
      <w:pPr>
        <w:pStyle w:val="VMleipteksti"/>
        <w:ind w:left="0"/>
      </w:pPr>
    </w:p>
    <w:p w14:paraId="4EF42EB2" w14:textId="7FF79B64" w:rsidR="00CA1F5E" w:rsidRPr="003329F3" w:rsidRDefault="00CE3134" w:rsidP="0009569D">
      <w:pPr>
        <w:pStyle w:val="VMOtsikkonum2"/>
      </w:pPr>
      <w:bookmarkStart w:id="38" w:name="_Toc162447910"/>
      <w:r w:rsidRPr="003329F3">
        <w:t>Energiainfrastruktuurihankkeen hyväksyttävät kustannukset</w:t>
      </w:r>
      <w:bookmarkEnd w:id="38"/>
    </w:p>
    <w:p w14:paraId="7FF20375" w14:textId="77777777" w:rsidR="0009569D" w:rsidRPr="003329F3" w:rsidRDefault="0009569D" w:rsidP="00CA1F5E">
      <w:pPr>
        <w:pStyle w:val="VMleipteksti"/>
        <w:ind w:left="0"/>
        <w:rPr>
          <w:b/>
        </w:rPr>
      </w:pPr>
    </w:p>
    <w:p w14:paraId="20605406" w14:textId="77777777" w:rsidR="00CE3134" w:rsidRPr="003329F3" w:rsidRDefault="00CE3134" w:rsidP="00CE3134">
      <w:pPr>
        <w:pStyle w:val="VMleipteksti"/>
        <w:ind w:left="0"/>
      </w:pPr>
      <w:r w:rsidRPr="003329F3">
        <w:t xml:space="preserve">Energiainfrastruktuurihankkeessa voidaan hyväksyä seuraavat määrältään kohtuulliset kustannukset: </w:t>
      </w:r>
    </w:p>
    <w:p w14:paraId="441A792A" w14:textId="77777777" w:rsidR="00CE3134" w:rsidRPr="003329F3" w:rsidRDefault="00CE3134" w:rsidP="00CE3134">
      <w:pPr>
        <w:pStyle w:val="VMleipteksti"/>
        <w:ind w:left="0"/>
      </w:pPr>
    </w:p>
    <w:p w14:paraId="373EC0DD" w14:textId="2FE01F38" w:rsidR="00CE3134" w:rsidRPr="003329F3" w:rsidRDefault="00CE3134" w:rsidP="00CE3134">
      <w:pPr>
        <w:pStyle w:val="VMleipteksti"/>
        <w:ind w:left="0"/>
      </w:pPr>
      <w:r w:rsidRPr="003329F3">
        <w:t>1) siirto- ja jakeluverkkoon ja kaukolämmitysjärjestelmään kuuluvien komponenttien,</w:t>
      </w:r>
    </w:p>
    <w:p w14:paraId="469810EB" w14:textId="4F317412" w:rsidR="00CE3134" w:rsidRPr="003329F3" w:rsidRDefault="00CE3134" w:rsidP="00CE3134">
      <w:pPr>
        <w:pStyle w:val="VMleipteksti"/>
        <w:ind w:left="0"/>
      </w:pPr>
      <w:r w:rsidRPr="003329F3">
        <w:t xml:space="preserve">koneiden, laitteiden ja tietojärjestelmien hankinnasta ja asennuksesta aiheutuvat kustannukset; </w:t>
      </w:r>
    </w:p>
    <w:p w14:paraId="79635EB3" w14:textId="77777777" w:rsidR="00CE3134" w:rsidRPr="003329F3" w:rsidRDefault="00CE3134" w:rsidP="00CE3134">
      <w:pPr>
        <w:pStyle w:val="VMleipteksti"/>
        <w:ind w:left="0"/>
      </w:pPr>
    </w:p>
    <w:p w14:paraId="69A58D63" w14:textId="51C47904" w:rsidR="00CE3134" w:rsidRPr="003329F3" w:rsidRDefault="00CE3134" w:rsidP="00CE3134">
      <w:pPr>
        <w:pStyle w:val="VMleipteksti"/>
        <w:ind w:left="0"/>
      </w:pPr>
      <w:r w:rsidRPr="003329F3">
        <w:t xml:space="preserve">2) rakennusten kustannukset; </w:t>
      </w:r>
    </w:p>
    <w:p w14:paraId="4A2A6724" w14:textId="77777777" w:rsidR="00CE3134" w:rsidRPr="003329F3" w:rsidRDefault="00CE3134" w:rsidP="00CE3134">
      <w:pPr>
        <w:pStyle w:val="VMleipteksti"/>
        <w:ind w:left="0"/>
      </w:pPr>
    </w:p>
    <w:p w14:paraId="540FB500" w14:textId="43630E5A" w:rsidR="00CE3134" w:rsidRPr="003329F3" w:rsidRDefault="00CE3134" w:rsidP="00CE3134">
      <w:pPr>
        <w:pStyle w:val="VMleipteksti"/>
        <w:ind w:left="0"/>
      </w:pPr>
      <w:r w:rsidRPr="003329F3">
        <w:t xml:space="preserve">3) rakennusteknisistä töistä ja rakennustöiden valvonnasta aiheutuvat kustannukset; </w:t>
      </w:r>
    </w:p>
    <w:p w14:paraId="1697020F" w14:textId="77777777" w:rsidR="00CE3134" w:rsidRPr="003329F3" w:rsidRDefault="00CE3134" w:rsidP="00CE3134">
      <w:pPr>
        <w:pStyle w:val="VMleipteksti"/>
        <w:ind w:left="0"/>
      </w:pPr>
    </w:p>
    <w:p w14:paraId="18FABA71" w14:textId="246A2194" w:rsidR="00CE3134" w:rsidRPr="003329F3" w:rsidRDefault="00CE3134" w:rsidP="00CE3134">
      <w:pPr>
        <w:pStyle w:val="VMleipteksti"/>
        <w:ind w:left="0"/>
      </w:pPr>
      <w:r w:rsidRPr="003329F3">
        <w:t xml:space="preserve">4) välittömästi investointiin liittyvien maa-alueiden tai niiden käyttöoikeuden hankinnasta aiheutuvat kustannukset siltä osin kuin ne eivät ylitä kymmentä prosenttia hankkeen hyväksyttävistä kokonaiskustannuksista sekä raivaus- ja maanrakennustöistä aiheutuvat kustannukset; </w:t>
      </w:r>
    </w:p>
    <w:p w14:paraId="7152B7F2" w14:textId="77777777" w:rsidR="00CE3134" w:rsidRPr="003329F3" w:rsidRDefault="00CE3134" w:rsidP="00CE3134">
      <w:pPr>
        <w:pStyle w:val="VMleipteksti"/>
        <w:ind w:left="0"/>
      </w:pPr>
    </w:p>
    <w:p w14:paraId="4E4A03F5" w14:textId="41478F56" w:rsidR="00CE3134" w:rsidRPr="003329F3" w:rsidRDefault="00CE3134" w:rsidP="00CE3134">
      <w:pPr>
        <w:pStyle w:val="VMleipteksti"/>
        <w:ind w:left="0"/>
      </w:pPr>
      <w:r w:rsidRPr="003329F3">
        <w:t xml:space="preserve">5) valmistelu- ja suunnittelukustannukset siltä osin kuin ne eivät ylitä 20:tä prosenttia hankkeen hyväksyttävistä kustannuksista; </w:t>
      </w:r>
    </w:p>
    <w:p w14:paraId="05C9BA18" w14:textId="77777777" w:rsidR="00CE3134" w:rsidRPr="003329F3" w:rsidRDefault="00CE3134" w:rsidP="00CE3134">
      <w:pPr>
        <w:pStyle w:val="VMleipteksti"/>
        <w:ind w:left="0"/>
      </w:pPr>
    </w:p>
    <w:p w14:paraId="0FA4A4D5" w14:textId="77A165C2" w:rsidR="00CE3134" w:rsidRPr="003329F3" w:rsidRDefault="00CE3134" w:rsidP="00CE3134">
      <w:pPr>
        <w:pStyle w:val="VMleipteksti"/>
        <w:ind w:left="0"/>
      </w:pPr>
      <w:r w:rsidRPr="003329F3">
        <w:t>6) investoinnin kohteena olleen omaisuuden käyttöönotosta ja käyttöönoton edellyttämästä käyttöhenkilökunnan koulutuksesta aiheutuvat kustannukset;</w:t>
      </w:r>
    </w:p>
    <w:p w14:paraId="5A843378" w14:textId="77777777" w:rsidR="00CE3134" w:rsidRPr="003329F3" w:rsidRDefault="00CE3134" w:rsidP="00CE3134">
      <w:pPr>
        <w:pStyle w:val="VMleipteksti"/>
        <w:ind w:left="0"/>
      </w:pPr>
      <w:r w:rsidRPr="003329F3">
        <w:lastRenderedPageBreak/>
        <w:t xml:space="preserve">7) investoinnin seurannasta aiheutuvat kustannukset enintään vuoden ajalta investoinnin kohteena olleen omaisuuden käyttöönotosta, jos se on perusteltua hankkeeseen liittyvien erityispiirteiden vuoksi tai muusta erityisestä syystä. </w:t>
      </w:r>
    </w:p>
    <w:p w14:paraId="2594CBFA" w14:textId="77777777" w:rsidR="00CE3134" w:rsidRPr="003329F3" w:rsidRDefault="00CE3134" w:rsidP="00CE3134">
      <w:pPr>
        <w:pStyle w:val="VMleipteksti"/>
        <w:ind w:left="0"/>
        <w:rPr>
          <w:b/>
        </w:rPr>
      </w:pPr>
    </w:p>
    <w:p w14:paraId="4F2594D8" w14:textId="200CC957" w:rsidR="00CE3134" w:rsidRPr="003329F3" w:rsidRDefault="00CE3134" w:rsidP="00CE3134">
      <w:pPr>
        <w:pStyle w:val="VMleipteksti"/>
        <w:ind w:left="0"/>
      </w:pPr>
      <w:r w:rsidRPr="003329F3">
        <w:rPr>
          <w:b/>
        </w:rPr>
        <w:t>Energiainfrastruktuurihankkeen hyväksyttäviä kustannuksia eivät ole</w:t>
      </w:r>
      <w:r w:rsidRPr="003329F3">
        <w:t xml:space="preserve"> tuen saajan maksamat palkat, yleiskustannukset, edustusmenot, korot ja muut rahoituskustannukset, valtion maksuperustelakiin (150/1992) perustuvat maksut, kustannusvaraukset, tuen saajan matkakustannukset eivätkä tuen saajan osana tavaroiden tai palvelujen hankintahintaa maksamat arvonlisäverot, vaikka ne liittyisivät välillisesti tai välittömästi 1-7 kohdissa tarkoitettuihin hyväksyttäviin kustannuksiin. Arvonlisävero voidaan kuitenkin tietyin edellytyksin hyväksyä kustannukseksi. Kustannukset voidaan hyväksyä arvonlisäverot sisältävien hankintahintojen mukaisina, jos rahoituksen saaja ei ole arvonlisäverovelvollinen. Lisäksi kustannukset voidaan hyväksyä arvonlisäverot sisältävien hankintahintojen mukaisina myös, jos ne liittyvät arvonlisäverottomaan toimintaan ja tavaroiden tai palvelujen hankintaan sisältyvä arvonlisävero jää tuen saajan lopulliseksi kustannukseksi.</w:t>
      </w:r>
    </w:p>
    <w:p w14:paraId="4BE7B337" w14:textId="77777777" w:rsidR="00CE3134" w:rsidRPr="003329F3" w:rsidRDefault="00CE3134" w:rsidP="007A73FB">
      <w:pPr>
        <w:pStyle w:val="VMleipteksti"/>
        <w:spacing w:before="240"/>
        <w:ind w:left="0"/>
        <w:rPr>
          <w:u w:val="single"/>
        </w:rPr>
      </w:pPr>
      <w:r w:rsidRPr="003329F3">
        <w:rPr>
          <w:u w:val="single"/>
        </w:rPr>
        <w:t xml:space="preserve">Energiainfrastruktuurihankkeen rahoittaminen leasingilla tai osamaksulla </w:t>
      </w:r>
    </w:p>
    <w:p w14:paraId="11A26EEE" w14:textId="41A0ABB2" w:rsidR="003A1D6A" w:rsidRPr="00A90164" w:rsidRDefault="00CE3134" w:rsidP="007A73FB">
      <w:pPr>
        <w:pStyle w:val="VMleipteksti"/>
        <w:spacing w:before="240"/>
        <w:ind w:left="0"/>
        <w:rPr>
          <w:color w:val="FF0000"/>
        </w:rPr>
      </w:pPr>
      <w:r w:rsidRPr="003329F3">
        <w:t>Jos hankittava käyttöomaisuus hankitaan leasingilla, osamaksulla tai vastaavalla tavalla, menoina voidaan hyväksyä enintään hankinnan ostohintaa vastaavat kustannukset, mutta ei hallinto-, rahoitus-, vakuutus-, korjaus-, huolto- eikä muita vastaavia kustannuksia.</w:t>
      </w:r>
    </w:p>
    <w:p w14:paraId="3E7069C7" w14:textId="65A72411" w:rsidR="00A6328E" w:rsidRPr="00A6328E" w:rsidRDefault="00A6328E" w:rsidP="00A6328E">
      <w:pPr>
        <w:pStyle w:val="VMOtsikkonum2"/>
      </w:pPr>
      <w:bookmarkStart w:id="39" w:name="_Toc162447911"/>
      <w:r>
        <w:t>Tuen saajan etuyhteydessä olevalta taholta tehdyt hankinnat</w:t>
      </w:r>
      <w:bookmarkEnd w:id="39"/>
    </w:p>
    <w:p w14:paraId="74914EA4" w14:textId="06C8F6A7" w:rsidR="006C5195" w:rsidRDefault="1E290AE8" w:rsidP="007A73FB">
      <w:pPr>
        <w:pStyle w:val="VMleipteksti"/>
        <w:spacing w:before="240" w:after="240"/>
        <w:ind w:left="0"/>
      </w:pPr>
      <w:r>
        <w:t>Tuen saajaan etuyhteydessä olevalta taholta tehtyjen hankintojen kustannukset voidaan hyväksyä vain siltä osin kuin tuen saaja osoittaa kustannusten vastaavan omakustannehintaa. Liiketoimen osapuolet ovat etuyhteydessä toisiinsa, jos toinen pystyy käyttämään toiseen nähden määräysvaltaa tai huomattavaa vaikutusvaltaa sen taloutta ja liiketoimintaa koskevassa päätöksenteossa taikka kolmannella osapuolella on yksin tai yhdessä lähipiirinsä kanssa määräysvalta liiketoimen molemmissa osapuolissa.</w:t>
      </w:r>
      <w:r w:rsidR="00EB6719">
        <w:br/>
      </w:r>
    </w:p>
    <w:p w14:paraId="7D603DCC" w14:textId="27870127" w:rsidR="00A34654" w:rsidRDefault="1E290AE8" w:rsidP="007A73FB">
      <w:pPr>
        <w:pStyle w:val="VMOtsikkonum1"/>
      </w:pPr>
      <w:bookmarkStart w:id="40" w:name="_Toc88747524"/>
      <w:bookmarkStart w:id="41" w:name="_Toc88818892"/>
      <w:bookmarkStart w:id="42" w:name="_Toc162447912"/>
      <w:r>
        <w:t>Tuen hakeminen ja aikataulu</w:t>
      </w:r>
      <w:bookmarkEnd w:id="40"/>
      <w:bookmarkEnd w:id="41"/>
      <w:bookmarkEnd w:id="42"/>
    </w:p>
    <w:p w14:paraId="483625C2" w14:textId="52294EAE" w:rsidR="004C29D5" w:rsidRPr="00761A38" w:rsidRDefault="65485516" w:rsidP="007A73FB">
      <w:pPr>
        <w:pStyle w:val="VMleipteksti"/>
        <w:spacing w:before="240" w:after="240"/>
        <w:ind w:left="0"/>
      </w:pPr>
      <w:r w:rsidRPr="00911CD7">
        <w:t xml:space="preserve">Viidennen hakukierroksen osalta hakemus on toimitettava </w:t>
      </w:r>
      <w:r w:rsidRPr="00911CD7">
        <w:rPr>
          <w:b/>
          <w:bCs/>
        </w:rPr>
        <w:t>viimeistään 15.5.2024 klo 16:15 mennessä.</w:t>
      </w:r>
    </w:p>
    <w:p w14:paraId="0E8C189A" w14:textId="370FF93D" w:rsidR="00270D76" w:rsidRDefault="6F62490B" w:rsidP="00270D76">
      <w:pPr>
        <w:pStyle w:val="VMleipteksti"/>
        <w:spacing w:before="240" w:after="240"/>
        <w:ind w:left="0"/>
      </w:pPr>
      <w:r>
        <w:t>Tukea haetaan Business Finlandin sähköisen järjestelmän kautta. Rahoitushakemus jätetään Business Finlandin </w:t>
      </w:r>
      <w:hyperlink r:id="rId19">
        <w:r w:rsidRPr="6F62490B">
          <w:rPr>
            <w:rStyle w:val="Hyperlink"/>
          </w:rPr>
          <w:t>asiointipalveluun.</w:t>
        </w:r>
      </w:hyperlink>
      <w:r>
        <w:t xml:space="preserve"> </w:t>
      </w:r>
    </w:p>
    <w:p w14:paraId="0D68E652" w14:textId="670359A1" w:rsidR="004A137C" w:rsidRPr="00270D76" w:rsidRDefault="1E290AE8" w:rsidP="1E290AE8">
      <w:pPr>
        <w:pStyle w:val="VMleipteksti"/>
        <w:spacing w:before="240" w:after="240"/>
        <w:ind w:left="0"/>
        <w:rPr>
          <w:highlight w:val="yellow"/>
        </w:rPr>
      </w:pPr>
      <w:r>
        <w:t>Rahoitusta haetaan</w:t>
      </w:r>
      <w:r w:rsidRPr="1E290AE8">
        <w:rPr>
          <w:rFonts w:ascii="Cambria" w:hAnsi="Cambria"/>
        </w:rPr>
        <w:t> </w:t>
      </w:r>
      <w:r w:rsidRPr="1E290AE8">
        <w:rPr>
          <w:b/>
          <w:bCs/>
        </w:rPr>
        <w:t>energiatuki</w:t>
      </w:r>
      <w:r>
        <w:t>-hakemuksella (Energiatuki – investointihanke). Hakemuksen kohdassa RRF – Suomen kestävän kasvun ohjelma valitaan hakutunnus</w:t>
      </w:r>
      <w:r w:rsidRPr="1E290AE8">
        <w:rPr>
          <w:rFonts w:ascii="Cambria" w:hAnsi="Cambria"/>
        </w:rPr>
        <w:t> </w:t>
      </w:r>
      <w:r w:rsidRPr="1E290AE8">
        <w:rPr>
          <w:b/>
          <w:bCs/>
        </w:rPr>
        <w:t>RRF –</w:t>
      </w:r>
      <w:r w:rsidRPr="1E290AE8">
        <w:rPr>
          <w:rFonts w:ascii="Cambria" w:hAnsi="Cambria"/>
          <w:b/>
          <w:bCs/>
        </w:rPr>
        <w:t> </w:t>
      </w:r>
      <w:r w:rsidRPr="1E290AE8">
        <w:rPr>
          <w:b/>
          <w:bCs/>
        </w:rPr>
        <w:t xml:space="preserve">Energiainvestointituki. </w:t>
      </w:r>
      <w:r>
        <w:t xml:space="preserve">Hakemukseen liitetään erillinen RRF-tukihakemuslomake sekä tukihakemuslomakkeessa ja ohjeissa mainitut liitteet. </w:t>
      </w:r>
    </w:p>
    <w:p w14:paraId="00DECA39" w14:textId="18942743" w:rsidR="002E521A" w:rsidRPr="00761A38" w:rsidRDefault="1E290AE8" w:rsidP="007A73FB">
      <w:pPr>
        <w:pStyle w:val="VMleipteksti"/>
        <w:spacing w:after="240"/>
        <w:ind w:left="0"/>
      </w:pPr>
      <w:r>
        <w:t>Hakemuslomake ja sen liitteet toimitetaan suomeksi tai ruotsiksi. Muuta kuin ohjeissa pyydettyä aineistoa ei tule toimittaa.</w:t>
      </w:r>
    </w:p>
    <w:p w14:paraId="35FCCAB9" w14:textId="7406C136" w:rsidR="007B5773" w:rsidRDefault="1E290AE8" w:rsidP="007A73FB">
      <w:pPr>
        <w:pStyle w:val="VMleipteksti"/>
        <w:spacing w:after="240"/>
        <w:ind w:left="0"/>
      </w:pPr>
      <w:r>
        <w:t xml:space="preserve">Tukipäätösten käsittelyaikataulu riippuu hakemusten määrästä ja käsittelytarpeesta. </w:t>
      </w:r>
    </w:p>
    <w:p w14:paraId="0F2FEEDB" w14:textId="77777777" w:rsidR="00472DC8" w:rsidRDefault="00472DC8" w:rsidP="007A73FB">
      <w:pPr>
        <w:pStyle w:val="VMleipteksti"/>
        <w:spacing w:after="240"/>
        <w:ind w:left="0"/>
      </w:pPr>
    </w:p>
    <w:p w14:paraId="2F3CC87A" w14:textId="5C330951" w:rsidR="004D6A65" w:rsidRPr="003B78B1" w:rsidRDefault="1E290AE8" w:rsidP="1E290AE8">
      <w:pPr>
        <w:pStyle w:val="VMOtsikkonum2"/>
        <w:rPr>
          <w:color w:val="FF0000"/>
        </w:rPr>
      </w:pPr>
      <w:bookmarkStart w:id="43" w:name="_Toc88747525"/>
      <w:bookmarkStart w:id="44" w:name="_Toc88818893"/>
      <w:r>
        <w:t xml:space="preserve"> </w:t>
      </w:r>
      <w:bookmarkStart w:id="45" w:name="_Toc162447913"/>
      <w:r>
        <w:t>Hakemuksessa vaadittavat tiedot</w:t>
      </w:r>
      <w:bookmarkEnd w:id="45"/>
      <w:r>
        <w:t xml:space="preserve"> </w:t>
      </w:r>
      <w:bookmarkEnd w:id="43"/>
      <w:bookmarkEnd w:id="44"/>
    </w:p>
    <w:p w14:paraId="1419687B" w14:textId="77777777" w:rsidR="00FF3A4F" w:rsidRDefault="1E290AE8" w:rsidP="007A73FB">
      <w:pPr>
        <w:pStyle w:val="VMleipteksti"/>
        <w:spacing w:after="240"/>
        <w:ind w:left="0"/>
      </w:pPr>
      <w:r>
        <w:lastRenderedPageBreak/>
        <w:t>Tuen hakijan on esitettävä asian arvioimiseksi ja ratkaisemiseksi tarvittavat tiedot.</w:t>
      </w:r>
    </w:p>
    <w:p w14:paraId="76A3C627" w14:textId="2098208E" w:rsidR="00FF3A4F" w:rsidRPr="007A73FB" w:rsidRDefault="1E290AE8" w:rsidP="1E290AE8">
      <w:pPr>
        <w:pStyle w:val="VMleipteksti"/>
        <w:spacing w:after="240"/>
        <w:ind w:left="0"/>
        <w:rPr>
          <w:u w:val="single"/>
        </w:rPr>
      </w:pPr>
      <w:r w:rsidRPr="1E290AE8">
        <w:rPr>
          <w:u w:val="single"/>
        </w:rPr>
        <w:t>Tukihakemuksesta ja sen liitteistä tulee ilmetä ainakin seuraavat tiedot:</w:t>
      </w:r>
    </w:p>
    <w:p w14:paraId="7E9DF82F" w14:textId="77777777" w:rsidR="00FF3A4F" w:rsidRDefault="1E290AE8" w:rsidP="007A73FB">
      <w:pPr>
        <w:pStyle w:val="VMleipteksti"/>
        <w:numPr>
          <w:ilvl w:val="0"/>
          <w:numId w:val="39"/>
        </w:numPr>
      </w:pPr>
      <w:r>
        <w:t xml:space="preserve">hakijan virallinen nimi, osoite, sähköpostiosoite, yritys- ja yhteisötunnus sekä yrityksen koko; </w:t>
      </w:r>
    </w:p>
    <w:p w14:paraId="0CF5557F" w14:textId="4E10BFA7" w:rsidR="00FF3A4F" w:rsidRDefault="00FF3A4F" w:rsidP="007A73FB">
      <w:pPr>
        <w:pStyle w:val="VMleipteksti"/>
        <w:numPr>
          <w:ilvl w:val="0"/>
          <w:numId w:val="39"/>
        </w:numPr>
      </w:pPr>
      <w:r>
        <w:t>hankkeen ensisijainen kohde</w:t>
      </w:r>
      <w:r w:rsidR="00567573">
        <w:rPr>
          <w:rStyle w:val="FootnoteReference"/>
        </w:rPr>
        <w:footnoteReference w:id="10"/>
      </w:r>
      <w:r>
        <w:t>;</w:t>
      </w:r>
    </w:p>
    <w:p w14:paraId="3BB3AFDC" w14:textId="701E6D27" w:rsidR="00FF3A4F" w:rsidRDefault="00FF3A4F" w:rsidP="007A73FB">
      <w:pPr>
        <w:pStyle w:val="VMleipteksti"/>
        <w:numPr>
          <w:ilvl w:val="0"/>
          <w:numId w:val="39"/>
        </w:numPr>
      </w:pPr>
      <w:r>
        <w:t>kuvaus hankkeesta ja sen toteuttamissuunnitelma ja -aikataulu</w:t>
      </w:r>
      <w:r w:rsidR="00F435CC">
        <w:rPr>
          <w:rStyle w:val="FootnoteReference"/>
        </w:rPr>
        <w:footnoteReference w:id="11"/>
      </w:r>
      <w:r>
        <w:t>;</w:t>
      </w:r>
    </w:p>
    <w:p w14:paraId="3905B8A4" w14:textId="5DC8FD6B" w:rsidR="00FF3A4F" w:rsidRDefault="1E290AE8" w:rsidP="007A73FB">
      <w:pPr>
        <w:pStyle w:val="VMleipteksti"/>
        <w:numPr>
          <w:ilvl w:val="0"/>
          <w:numId w:val="39"/>
        </w:numPr>
      </w:pPr>
      <w:r>
        <w:t>arvio hankkeen energiataloudellisista vaikutuksista, kasvihuonekaasupäästövaikutuksista ja muista merkityksellisistä ympäristövaikutuksista sekä työllisyysvaikutuksista ja muista vaikutuksista;</w:t>
      </w:r>
    </w:p>
    <w:p w14:paraId="0DB57076" w14:textId="77777777" w:rsidR="00FF3A4F" w:rsidRDefault="1E290AE8" w:rsidP="007A73FB">
      <w:pPr>
        <w:pStyle w:val="VMleipteksti"/>
        <w:numPr>
          <w:ilvl w:val="0"/>
          <w:numId w:val="39"/>
        </w:numPr>
      </w:pPr>
      <w:r>
        <w:t>hankkeen eritelty kustannusarvio;</w:t>
      </w:r>
    </w:p>
    <w:p w14:paraId="6C40D641" w14:textId="77777777" w:rsidR="00FF3A4F" w:rsidRDefault="1E290AE8" w:rsidP="007A73FB">
      <w:pPr>
        <w:pStyle w:val="VMleipteksti"/>
        <w:numPr>
          <w:ilvl w:val="0"/>
          <w:numId w:val="39"/>
        </w:numPr>
      </w:pPr>
      <w:r>
        <w:t>hankkeen rahoitussuunnitelma;</w:t>
      </w:r>
    </w:p>
    <w:p w14:paraId="71DB0220" w14:textId="4340BB2D" w:rsidR="00FF3A4F" w:rsidRDefault="1E290AE8" w:rsidP="007A73FB">
      <w:pPr>
        <w:pStyle w:val="VMleipteksti"/>
        <w:numPr>
          <w:ilvl w:val="0"/>
          <w:numId w:val="39"/>
        </w:numPr>
      </w:pPr>
      <w:r>
        <w:t>vähimmäistukimäärä, joka arvioidaan tarvittavan hankkeen käynnistämiseen, ja tätä koskevat perustelut;</w:t>
      </w:r>
    </w:p>
    <w:p w14:paraId="1CD80274" w14:textId="1B5824D7" w:rsidR="00FF3A4F" w:rsidRPr="002B29D4" w:rsidRDefault="00FF3A4F" w:rsidP="007A73FB">
      <w:pPr>
        <w:pStyle w:val="VMleipteksti"/>
        <w:numPr>
          <w:ilvl w:val="0"/>
          <w:numId w:val="39"/>
        </w:numPr>
      </w:pPr>
      <w:r>
        <w:t xml:space="preserve">hankkeen kannattavuuslaskelma ilman tukea ja tuki mukaan </w:t>
      </w:r>
      <w:r w:rsidRPr="002B29D4">
        <w:t>laskien</w:t>
      </w:r>
      <w:r w:rsidR="00CF2138" w:rsidRPr="0085767B">
        <w:rPr>
          <w:rStyle w:val="FootnoteReference"/>
        </w:rPr>
        <w:footnoteReference w:id="12"/>
      </w:r>
      <w:r w:rsidRPr="002B29D4">
        <w:t>;</w:t>
      </w:r>
    </w:p>
    <w:p w14:paraId="07B82CDD" w14:textId="72A9AD8B" w:rsidR="00FF3A4F" w:rsidRDefault="1E290AE8" w:rsidP="007A73FB">
      <w:pPr>
        <w:pStyle w:val="VMleipteksti"/>
        <w:numPr>
          <w:ilvl w:val="0"/>
          <w:numId w:val="39"/>
        </w:numPr>
      </w:pPr>
      <w:r>
        <w:t>selvitys hankkeeseen haetuista ja myönnetyistä muista julkisista tuista mukaan lukien Euroopan unionin myöntämät tuet;</w:t>
      </w:r>
    </w:p>
    <w:p w14:paraId="46DE2D23" w14:textId="26AFF0E0" w:rsidR="00FF3A4F" w:rsidRDefault="00FF3A4F" w:rsidP="007A73FB">
      <w:pPr>
        <w:pStyle w:val="VMleipteksti"/>
        <w:numPr>
          <w:ilvl w:val="0"/>
          <w:numId w:val="39"/>
        </w:numPr>
        <w:spacing w:after="240"/>
      </w:pPr>
      <w:r>
        <w:t>selvitys siitä, että ei merkittävää haittaa -periaate toteutuu hankkeessa</w:t>
      </w:r>
      <w:r w:rsidR="00DB388A">
        <w:rPr>
          <w:rStyle w:val="FootnoteReference"/>
        </w:rPr>
        <w:footnoteReference w:id="13"/>
      </w:r>
      <w:r>
        <w:t>.</w:t>
      </w:r>
      <w:r w:rsidR="00AA122E">
        <w:t xml:space="preserve"> </w:t>
      </w:r>
      <w:r w:rsidR="00AA122E" w:rsidRPr="00074E18">
        <w:t>Tuen hakijalta voidaan edellyttää kolmannen osapuolen arviota</w:t>
      </w:r>
      <w:r w:rsidR="00AA122E">
        <w:t xml:space="preserve"> periaatteen täyttymisestä hank</w:t>
      </w:r>
      <w:r w:rsidR="00AA122E" w:rsidRPr="00074E18">
        <w:t>keessa</w:t>
      </w:r>
      <w:r w:rsidR="00AA122E">
        <w:t>.</w:t>
      </w:r>
    </w:p>
    <w:p w14:paraId="58466A27" w14:textId="12753587" w:rsidR="009B6BD1" w:rsidRDefault="1E290AE8" w:rsidP="00761A38">
      <w:pPr>
        <w:pStyle w:val="VMleipteksti"/>
        <w:spacing w:after="240"/>
        <w:ind w:left="360"/>
      </w:pPr>
      <w:r>
        <w:t xml:space="preserve">Jos kyseessä on uutta teknologiaa hyödyntävä hanke, tulee hakemuksessa ja sen liitteissä selvittää teknologian uutuusarvo ja riskit sekä siihen liittyvät hyödyntämismahdollisuudet ja siitä aiheutuvat lisäkustannukset vastaavaa tavanomaista teknologiaa hyödyntävään hankkeeseen verrattuna. Uudella teknologialla tarkoitetaan sellaisia uudenlaisia ratkaisuja, joita ei ole Suomessa laajasti kokeiltu. Tyypillisesti kyse on ensimmäisestä tai ensimmäisistä demonstraatiolaitoksista. Uuden teknologian hankkeista voidaan liittää kolmannen osapuolen arvio teknologian uutuusarvosta. </w:t>
      </w:r>
    </w:p>
    <w:p w14:paraId="4D51A783" w14:textId="4F59410C" w:rsidR="009B6BD1" w:rsidRPr="002B29D4" w:rsidRDefault="1E290AE8" w:rsidP="1E290AE8">
      <w:pPr>
        <w:pStyle w:val="VMleipteksti"/>
        <w:spacing w:after="240"/>
        <w:ind w:left="360"/>
        <w:rPr>
          <w:u w:val="single"/>
        </w:rPr>
      </w:pPr>
      <w:r w:rsidRPr="1E290AE8">
        <w:rPr>
          <w:u w:val="single"/>
        </w:rPr>
        <w:t>Päästökauppajärjestelmään kuuluviin laitoksiin kohdistuvat vaatimukset</w:t>
      </w:r>
    </w:p>
    <w:p w14:paraId="53E63633" w14:textId="047C213B" w:rsidR="006F3398" w:rsidRPr="0085767B" w:rsidRDefault="1E290AE8" w:rsidP="009B6BD1">
      <w:pPr>
        <w:pStyle w:val="VMleipteksti"/>
        <w:spacing w:after="240"/>
        <w:ind w:left="360"/>
      </w:pPr>
      <w:r>
        <w:t xml:space="preserve">Päästökauppajärjestelmään kuuluvien laitosten osalta hakemuksessa ja sen liitteissä tulee antaa seuraavat tiedot  </w:t>
      </w:r>
    </w:p>
    <w:p w14:paraId="41BA17CC" w14:textId="03B1862D" w:rsidR="006F3398" w:rsidRPr="0085767B" w:rsidRDefault="1E290AE8" w:rsidP="009B6BD1">
      <w:pPr>
        <w:pStyle w:val="VMleipteksti"/>
        <w:spacing w:after="240"/>
        <w:ind w:left="360"/>
      </w:pPr>
      <w:r>
        <w:t xml:space="preserve">1) Laitostunnus EU:n komission riippumattomassa tapahtumalokissa (EUTL) perustuen </w:t>
      </w:r>
      <w:hyperlink r:id="rId20">
        <w:r w:rsidRPr="1E290AE8">
          <w:rPr>
            <w:rStyle w:val="Hyperlink"/>
          </w:rPr>
          <w:t xml:space="preserve">komission asetuksen (EU) 389/2013 </w:t>
        </w:r>
      </w:hyperlink>
      <w:r>
        <w:t xml:space="preserve"> artiklaan 5. </w:t>
      </w:r>
    </w:p>
    <w:p w14:paraId="1B2FBBB6" w14:textId="7F8DB71A" w:rsidR="006F3398" w:rsidRPr="0085767B" w:rsidRDefault="1E290AE8" w:rsidP="009B6BD1">
      <w:pPr>
        <w:pStyle w:val="VMleipteksti"/>
        <w:spacing w:after="240"/>
        <w:ind w:left="360"/>
      </w:pPr>
      <w:r>
        <w:t>2) Arvioitu kasvihuonekaasupäästöjen määrä tuoteyksikköä kohti suhteessa vertailuarvoihin rahoitettavan investoinnin käyttöönoton jälkeen.</w:t>
      </w:r>
    </w:p>
    <w:p w14:paraId="05441D12" w14:textId="595D20BB" w:rsidR="006F3398" w:rsidRPr="0085767B" w:rsidRDefault="1E290AE8" w:rsidP="009B6BD1">
      <w:pPr>
        <w:pStyle w:val="VMleipteksti"/>
        <w:spacing w:after="240"/>
        <w:ind w:left="360"/>
      </w:pPr>
      <w:r>
        <w:t xml:space="preserve">Mikäli laitostunnusta ei tukea haettaessa vielä ole, tulee hakijan antaa tiedot suunnitelmasta hankkia tunnus. </w:t>
      </w:r>
    </w:p>
    <w:p w14:paraId="7F2B4768" w14:textId="39E05939" w:rsidR="00303DCB" w:rsidRPr="006F3398" w:rsidRDefault="1E290AE8" w:rsidP="003A1D6A">
      <w:pPr>
        <w:pStyle w:val="VMleipteksti"/>
        <w:spacing w:after="240"/>
        <w:ind w:left="360"/>
      </w:pPr>
      <w:r>
        <w:t xml:space="preserve">Hakemuksessa tulee kuvata laskennan tapa ja perusteet koskien arvioitua kasvihuonekaasupäästöjen määrää tuoteyksikköä kohden. Laskentatavan tulee olla johdonmukainen maksutta jaettavia päästöoikeuksia koskevan tarkkailumenetelmäsuunnitelman (MMP) kanssa. Laskentatapa perustuu päästökaupan piiriin kuuluvan prosessin tuottamien päästöjen laskentaan. Laskentaan </w:t>
      </w:r>
      <w:r>
        <w:lastRenderedPageBreak/>
        <w:t xml:space="preserve">liittyviä ohjeita on saatavissa </w:t>
      </w:r>
      <w:hyperlink r:id="rId21">
        <w:r w:rsidRPr="1E290AE8">
          <w:rPr>
            <w:rStyle w:val="Hyperlink"/>
          </w:rPr>
          <w:t>energiaviraston internetsivustolta</w:t>
        </w:r>
      </w:hyperlink>
      <w:r>
        <w:t xml:space="preserve"> ja </w:t>
      </w:r>
      <w:hyperlink r:id="rId22">
        <w:r w:rsidRPr="1E290AE8">
          <w:rPr>
            <w:rStyle w:val="Hyperlink"/>
          </w:rPr>
          <w:t>komission delegoidusta asetuksesta (EU) 2019/331)</w:t>
        </w:r>
      </w:hyperlink>
      <w:r>
        <w:t xml:space="preserve"> koskien päästöoikeuksien yhdenmukaistettua maksutta tapahtuvaa jakoa koskevien unionin laajuisten siirtymäsäännösten määrittämisestä Euroopan parlamentin ja neuvoston direktiivin 2003/87/EY 10 a artiklan mukaisesti.</w:t>
      </w:r>
      <w:r w:rsidR="006F3398">
        <w:br/>
      </w:r>
    </w:p>
    <w:p w14:paraId="36713889" w14:textId="77777777" w:rsidR="00A34654" w:rsidRPr="00183F1B" w:rsidRDefault="1E290AE8" w:rsidP="007A73FB">
      <w:pPr>
        <w:pStyle w:val="VMOtsikkonum1"/>
      </w:pPr>
      <w:bookmarkStart w:id="46" w:name="_Toc88747526"/>
      <w:bookmarkStart w:id="47" w:name="_Toc88818894"/>
      <w:bookmarkStart w:id="48" w:name="_Toc88747527"/>
      <w:bookmarkStart w:id="49" w:name="_Toc88818895"/>
      <w:bookmarkStart w:id="50" w:name="_Toc162447914"/>
      <w:bookmarkEnd w:id="46"/>
      <w:bookmarkEnd w:id="47"/>
      <w:r>
        <w:t>Hakemusten käsittely ja tuen myöntäminen</w:t>
      </w:r>
      <w:bookmarkEnd w:id="48"/>
      <w:bookmarkEnd w:id="49"/>
      <w:bookmarkEnd w:id="50"/>
    </w:p>
    <w:p w14:paraId="72365769" w14:textId="00B63263" w:rsidR="008B79E4" w:rsidRPr="00940B82" w:rsidRDefault="75178BE2" w:rsidP="1E290AE8">
      <w:pPr>
        <w:pStyle w:val="VMleipteksti"/>
        <w:spacing w:after="240"/>
        <w:ind w:left="0"/>
        <w:rPr>
          <w:strike/>
        </w:rPr>
      </w:pPr>
      <w:r w:rsidRPr="00940B82">
        <w:t>Työ- ja elinkeinoministeriö päättää tuen myöntämisestä hankkeille, joiden hyväksyttävät kustannukset ylittävät 5 000 000 euroa</w:t>
      </w:r>
      <w:r w:rsidR="00940B82">
        <w:t>.</w:t>
      </w:r>
    </w:p>
    <w:p w14:paraId="2A736100" w14:textId="514F9D3D" w:rsidR="00943674" w:rsidRDefault="1E290AE8" w:rsidP="007A73FB">
      <w:pPr>
        <w:pStyle w:val="VMleipteksti"/>
        <w:spacing w:after="240"/>
        <w:ind w:left="0"/>
      </w:pPr>
      <w:r>
        <w:t xml:space="preserve">Tuen myöntäminen perustuu investointityyppikohtaisesti tehtävään hakemusten vertailuun. Koko-naisharkinnassa arvioidaan investointien vaikuttavuus Suomen elpymis- ja palautumissuunnitelmassa asetettuihin tavoitteisiin. Erityisesti vertailussa tarkastellaan hankkeiden energia- ja päästö-vaikutuksia, kustannustehokkuutta, toteutettavuutta, hankkeisiin sisältyvän teknologian uutuusarvoa, teknologian tai hankkeen monistettavuutta sekä hankkeiden muita vaikutuksia.  </w:t>
      </w:r>
    </w:p>
    <w:p w14:paraId="2716E5F9" w14:textId="36D5282F" w:rsidR="00DE3A78" w:rsidRDefault="1E290AE8" w:rsidP="007A73FB">
      <w:pPr>
        <w:pStyle w:val="VMleipteksti"/>
        <w:spacing w:after="240"/>
        <w:ind w:left="0"/>
      </w:pPr>
      <w:r>
        <w:t>Alkuperätakuiden markkina-arvo otetaan hallinnollisesti huomioon tuen tasossa.</w:t>
      </w:r>
      <w:r w:rsidR="004E3DF6">
        <w:br/>
      </w:r>
    </w:p>
    <w:p w14:paraId="1F186B6B" w14:textId="280C9BF6" w:rsidR="0077329C" w:rsidRPr="009957B1" w:rsidRDefault="1E290AE8" w:rsidP="007A73FB">
      <w:pPr>
        <w:pStyle w:val="VMOtsikkonum1"/>
      </w:pPr>
      <w:bookmarkStart w:id="51" w:name="_Toc88747528"/>
      <w:bookmarkStart w:id="52" w:name="_Toc88818896"/>
      <w:bookmarkStart w:id="53" w:name="_Toc162447915"/>
      <w:r>
        <w:t>Tukipäätöksen muuttaminen</w:t>
      </w:r>
      <w:bookmarkEnd w:id="51"/>
      <w:bookmarkEnd w:id="52"/>
      <w:bookmarkEnd w:id="53"/>
    </w:p>
    <w:p w14:paraId="24DE4C47" w14:textId="40F50E2D" w:rsidR="00944E49" w:rsidRDefault="1E290AE8" w:rsidP="1E290AE8">
      <w:pPr>
        <w:spacing w:after="240"/>
        <w:rPr>
          <w:lang w:eastAsia="fi-FI"/>
        </w:rPr>
      </w:pPr>
      <w:r w:rsidRPr="1E290AE8">
        <w:rPr>
          <w:lang w:eastAsia="fi-FI"/>
        </w:rPr>
        <w:t>Tuen myöntäjä voi tuen saajan hakemuksesta erityisestä syystä muuttaa tukipäätöksessä määriteltyä tuen käyttötarkoitusta tai ehtoja. Tukipäätöstä ei ole mahdollista muuttaa muiden kuin edellä mainittujen kohtien osalta.</w:t>
      </w:r>
    </w:p>
    <w:p w14:paraId="0951970D" w14:textId="4F87373E" w:rsidR="00A34654" w:rsidRDefault="1E290AE8" w:rsidP="007A73FB">
      <w:pPr>
        <w:pStyle w:val="VMOtsikkonum1"/>
      </w:pPr>
      <w:bookmarkStart w:id="54" w:name="_Toc88747529"/>
      <w:bookmarkStart w:id="55" w:name="_Toc88818897"/>
      <w:bookmarkStart w:id="56" w:name="_Toc162447916"/>
      <w:r>
        <w:t>Tuen maksatuksen hakeminen ja maksaminen</w:t>
      </w:r>
      <w:bookmarkEnd w:id="54"/>
      <w:bookmarkEnd w:id="55"/>
      <w:bookmarkEnd w:id="56"/>
    </w:p>
    <w:p w14:paraId="39AB40C6" w14:textId="5B850A9E" w:rsidR="00C7767E" w:rsidRDefault="1E290AE8" w:rsidP="00C7767E">
      <w:pPr>
        <w:pStyle w:val="VMOtsikkonum2"/>
      </w:pPr>
      <w:bookmarkStart w:id="57" w:name="_Toc88747530"/>
      <w:bookmarkStart w:id="58" w:name="_Toc88818898"/>
      <w:bookmarkStart w:id="59" w:name="_Toc162447917"/>
      <w:r>
        <w:t>Maksatushakemus ja siihen sisällytettävät tiedot ja selvitykset</w:t>
      </w:r>
      <w:bookmarkEnd w:id="57"/>
      <w:bookmarkEnd w:id="58"/>
      <w:bookmarkEnd w:id="59"/>
    </w:p>
    <w:p w14:paraId="26727CA2" w14:textId="69E26FD3" w:rsidR="00A56EE1" w:rsidRDefault="1E290AE8" w:rsidP="007A73FB">
      <w:pPr>
        <w:pStyle w:val="VMleipteksti"/>
        <w:spacing w:after="240"/>
        <w:ind w:left="0"/>
      </w:pPr>
      <w:r>
        <w:t xml:space="preserve">Tuki maksetaan hakemuksesta (maksatushakemus) jälkikäteen hankkeen edistymisen ja toteutuneiden, maksettujen kustannusten perusteella. Hankkeeseen myönnetyn tuen voi hakea maksuun yhdessä tai useammassa erässä. </w:t>
      </w:r>
    </w:p>
    <w:p w14:paraId="0797A7CB" w14:textId="391E2817" w:rsidR="00A56EE1" w:rsidRDefault="1E290AE8" w:rsidP="007A73FB">
      <w:pPr>
        <w:pStyle w:val="VMleipteksti"/>
        <w:spacing w:after="240"/>
        <w:ind w:left="0"/>
      </w:pPr>
      <w:r>
        <w:t xml:space="preserve">Tuen saajan on jokaisen maksatushakemuksen yhteydessä esittävä </w:t>
      </w:r>
      <w:r w:rsidRPr="1E290AE8">
        <w:rPr>
          <w:u w:val="single"/>
        </w:rPr>
        <w:t>lausunto hankkeen edistymisestä</w:t>
      </w:r>
      <w:r>
        <w:t xml:space="preserve"> sekä luotettava </w:t>
      </w:r>
      <w:r w:rsidRPr="1E290AE8">
        <w:rPr>
          <w:u w:val="single"/>
        </w:rPr>
        <w:t>selvitys hankkeen siihen mennessä toteutuneista ja maksetuista kustannuksista</w:t>
      </w:r>
      <w:r>
        <w:t xml:space="preserve">. </w:t>
      </w:r>
    </w:p>
    <w:p w14:paraId="6508ABFF" w14:textId="77777777" w:rsidR="00A56EE1" w:rsidRDefault="1E290AE8" w:rsidP="007A73FB">
      <w:pPr>
        <w:pStyle w:val="VMleipteksti"/>
        <w:spacing w:after="240"/>
        <w:ind w:left="0"/>
      </w:pPr>
      <w:r>
        <w:t xml:space="preserve">Tuen ensimmäisen erän maksatushakemuksessa tai haettaessa tuki maksuun yhdessä erässä tulee lisäksi esittää </w:t>
      </w:r>
      <w:r w:rsidRPr="1E290AE8">
        <w:rPr>
          <w:u w:val="single"/>
        </w:rPr>
        <w:t>selvitys hankkeen kokonaisrahoituksesta</w:t>
      </w:r>
      <w:r>
        <w:t xml:space="preserve">. </w:t>
      </w:r>
    </w:p>
    <w:p w14:paraId="48402078" w14:textId="67C13A57" w:rsidR="00A56EE1" w:rsidRDefault="1E290AE8" w:rsidP="007A73FB">
      <w:pPr>
        <w:pStyle w:val="VMleipteksti"/>
        <w:spacing w:after="240"/>
        <w:ind w:left="0"/>
      </w:pPr>
      <w:r>
        <w:t xml:space="preserve">Hakemus viimeisen maksuerän maksamiseksi ja sen liitteenä </w:t>
      </w:r>
      <w:r w:rsidRPr="1E290AE8">
        <w:rPr>
          <w:u w:val="single"/>
        </w:rPr>
        <w:t>lopputilitys</w:t>
      </w:r>
      <w:r>
        <w:t xml:space="preserve"> tulee toimittaa tuen myöntäjälle neljän kuukauden kuluessa siitä, kun hankkeen tulee tukipäätöksen mukaan olla saatettu päätökseen. Viimeisen erän maksatushakemuksessa tulee antaa </w:t>
      </w:r>
      <w:r w:rsidRPr="1E290AE8">
        <w:rPr>
          <w:u w:val="single"/>
        </w:rPr>
        <w:t>selvitys koko hankkeen toteutuneista kustannuksista</w:t>
      </w:r>
      <w:r>
        <w:t>. Erityisestä syystä tuen myöntäjä voi myöntää jatkoaikaa viimeisen erän maksatushakemuksen toimittamista varten, jos tätä koskeva hakemus toimitetaan ennen määräajan päättymistä.</w:t>
      </w:r>
    </w:p>
    <w:p w14:paraId="7E78D970" w14:textId="0FB9CE8F" w:rsidR="00F74A44" w:rsidRDefault="00F74A44" w:rsidP="007A73FB">
      <w:pPr>
        <w:pStyle w:val="VMleipteksti"/>
        <w:spacing w:after="240"/>
        <w:ind w:left="0"/>
      </w:pPr>
      <w:r>
        <w:lastRenderedPageBreak/>
        <w:t xml:space="preserve">Tilintarkastajan on </w:t>
      </w:r>
      <w:r w:rsidRPr="00F74A44">
        <w:t>viimeisen erän maksatushakemuksen yhteydessä</w:t>
      </w:r>
      <w:r>
        <w:t xml:space="preserve"> annettava </w:t>
      </w:r>
      <w:r w:rsidRPr="00F74A44">
        <w:rPr>
          <w:u w:val="single"/>
        </w:rPr>
        <w:t>tilintarkastajan raportti</w:t>
      </w:r>
      <w:r>
        <w:t xml:space="preserve"> </w:t>
      </w:r>
      <w:r w:rsidRPr="00F74A44">
        <w:t>havainnoistaan, jotka koskevat hankkeelle tilitettyjä kustannuksia koko projektin kestoajalta</w:t>
      </w:r>
      <w:r>
        <w:rPr>
          <w:rStyle w:val="FootnoteReference"/>
        </w:rPr>
        <w:footnoteReference w:id="14"/>
      </w:r>
      <w:r w:rsidRPr="00F74A44">
        <w:t>.</w:t>
      </w:r>
    </w:p>
    <w:p w14:paraId="0CC83011" w14:textId="1B563F17" w:rsidR="005F717E" w:rsidRDefault="1E290AE8" w:rsidP="007A73FB">
      <w:pPr>
        <w:pStyle w:val="VMleipteksti"/>
        <w:spacing w:after="240"/>
        <w:ind w:left="0"/>
      </w:pPr>
      <w:r>
        <w:t>Rahoitettavien hankkeiden raportointivelvoitteita voidaan myöhemmin tarkentaa.</w:t>
      </w:r>
    </w:p>
    <w:p w14:paraId="78444341" w14:textId="60A5E151" w:rsidR="00E23722" w:rsidRDefault="1E290AE8" w:rsidP="00C7767E">
      <w:pPr>
        <w:pStyle w:val="VMOtsikkonum2"/>
      </w:pPr>
      <w:bookmarkStart w:id="60" w:name="_Toc88747531"/>
      <w:bookmarkStart w:id="61" w:name="_Toc88818899"/>
      <w:bookmarkStart w:id="62" w:name="_Toc162447918"/>
      <w:r>
        <w:t>Tuen maksaminen</w:t>
      </w:r>
      <w:bookmarkEnd w:id="60"/>
      <w:bookmarkEnd w:id="61"/>
      <w:bookmarkEnd w:id="62"/>
    </w:p>
    <w:p w14:paraId="01161E32" w14:textId="49C3CA6B" w:rsidR="00F74A44" w:rsidRDefault="1E290AE8" w:rsidP="007A73FB">
      <w:pPr>
        <w:pStyle w:val="VMleipteksti"/>
        <w:spacing w:after="240"/>
        <w:ind w:left="0"/>
      </w:pPr>
      <w:r>
        <w:t>Investointihankkeeseen myönnetyn tuen ensimmäinen maksuerä voidaan maksaa, kun tuen saaja on tehnyt sitovan päälaitetilauksen ja aloittanut rakentamisen sekä kustannuksista vähintään 20 % on maksettu. Tuen saajalla on siten harkintavaltaa sen suhteen, miten myönnetty tuki jaetaan erillisiin maksatuseriin.</w:t>
      </w:r>
    </w:p>
    <w:p w14:paraId="767C3355" w14:textId="20B83E8D" w:rsidR="00F74A44" w:rsidRDefault="1E290AE8" w:rsidP="007A73FB">
      <w:pPr>
        <w:pStyle w:val="VMleipteksti"/>
        <w:spacing w:after="240"/>
        <w:ind w:left="0"/>
      </w:pPr>
      <w:r>
        <w:t>Tuen viimeinen erä voidaan maksaa, kun hanke on valmistunut ja tuen kohteena oleva omaisuus on vakuutettu vahingon varalta sekä viimeisen erän maksatushakemus ja lopputilitys hyväksytty. Viimeisen maksuerän tulee kuitenkin olla vähintään 20 % myönnetystä tuesta. Viimeistä maksuerää koskevassa maksatuspäätöksessä vahvistetaan tuen lopullinen määrä. Jos toteutuneet hyväksyttävät kustannukset ovat pienemmät kuin niiden tukipäätöksessä hyväksytty määrä on, lopullisen tuen suuruus on tukiprosentin mukainen osuus toteutuneista hyväksyttävistä kustannuksista.</w:t>
      </w:r>
    </w:p>
    <w:p w14:paraId="06A524CF" w14:textId="23ACF27F" w:rsidR="003C1281" w:rsidRDefault="1E290AE8" w:rsidP="007A73FB">
      <w:pPr>
        <w:pStyle w:val="VMleipteksti"/>
        <w:spacing w:after="240"/>
        <w:ind w:left="0"/>
      </w:pPr>
      <w:r>
        <w:t>Tuen maksatus keskeytetään, jos tuen saaja ei ole noudattanut komission aikaisempaa päätöstä sääntöjenvastaisen valtiontuen takaisinperinnästä.</w:t>
      </w:r>
      <w:r w:rsidR="007D6C2B">
        <w:br/>
      </w:r>
    </w:p>
    <w:p w14:paraId="35759B8D" w14:textId="35DF5753" w:rsidR="00A34654" w:rsidRPr="00C17E88" w:rsidRDefault="1E290AE8" w:rsidP="007A73FB">
      <w:pPr>
        <w:pStyle w:val="VMOtsikkonum1"/>
      </w:pPr>
      <w:bookmarkStart w:id="63" w:name="_Toc88747532"/>
      <w:bookmarkStart w:id="64" w:name="_Toc88818900"/>
      <w:bookmarkStart w:id="65" w:name="_Toc162447919"/>
      <w:r>
        <w:t>Tuensaajan velvollisuudet</w:t>
      </w:r>
      <w:bookmarkEnd w:id="63"/>
      <w:bookmarkEnd w:id="64"/>
      <w:bookmarkEnd w:id="65"/>
    </w:p>
    <w:p w14:paraId="2735CA46" w14:textId="1747E09D" w:rsidR="008D78B8" w:rsidRPr="007A73FB" w:rsidRDefault="1E290AE8" w:rsidP="1E290AE8">
      <w:pPr>
        <w:pStyle w:val="VMleipteksti"/>
        <w:spacing w:after="240"/>
        <w:ind w:left="0"/>
        <w:rPr>
          <w:u w:val="single"/>
        </w:rPr>
      </w:pPr>
      <w:r w:rsidRPr="1E290AE8">
        <w:rPr>
          <w:u w:val="single"/>
        </w:rPr>
        <w:t>Velvollisuus noudattaa ei merkittävää haittaa -periaatetta</w:t>
      </w:r>
    </w:p>
    <w:p w14:paraId="6B334381" w14:textId="77F43999" w:rsidR="008D78B8" w:rsidRPr="00CB29FA" w:rsidRDefault="1E290AE8" w:rsidP="007A73FB">
      <w:pPr>
        <w:pStyle w:val="VMleipteksti"/>
        <w:spacing w:after="240"/>
        <w:ind w:left="0"/>
      </w:pPr>
      <w:r>
        <w:t xml:space="preserve">Tuen saajalla on velvollisuus noudattaa ei merkittävää haittaa –periaatetta hankkeen valmistelun ja toiminnan ajan. </w:t>
      </w:r>
    </w:p>
    <w:p w14:paraId="06AEEE05" w14:textId="62CC13D2" w:rsidR="00624B3C" w:rsidRPr="007A73FB" w:rsidRDefault="1E290AE8" w:rsidP="1E290AE8">
      <w:pPr>
        <w:pStyle w:val="VMleipteksti"/>
        <w:spacing w:after="240"/>
        <w:ind w:left="0"/>
        <w:rPr>
          <w:u w:val="single"/>
        </w:rPr>
      </w:pPr>
      <w:r w:rsidRPr="1E290AE8">
        <w:rPr>
          <w:u w:val="single"/>
        </w:rPr>
        <w:t>Omaisuuden käyttö- ja luovutusrajoitusehdot</w:t>
      </w:r>
    </w:p>
    <w:p w14:paraId="65F909F5" w14:textId="38169C47" w:rsidR="00624B3C" w:rsidRPr="00624B3C" w:rsidRDefault="1E290AE8" w:rsidP="007A73FB">
      <w:pPr>
        <w:pStyle w:val="VMleipteksti"/>
        <w:spacing w:after="240"/>
        <w:ind w:left="0"/>
      </w:pPr>
      <w:r>
        <w:t>Tuen kohteena ollutta omaisuutta tulee käyttää tukipäätöksessä määrättyyn tarkoitukseen viiden vuoden ajan tukipäätöksessä määrätystä ajankohdasta eikä omaisuutta saa kyseisenä aikana luovuttaa toiselle eikä siirtää toisen omistukseen tai hallintaan. Omistusoikeuden saa kuitenkin siirtää määräaikaisesti rahoitusyhtiölle tai vastaavalle, jos omaisuuden käyttö- ja hallintaoikeus säilyvät tuen saajalla.</w:t>
      </w:r>
    </w:p>
    <w:p w14:paraId="1E11C122" w14:textId="771AA9A5" w:rsidR="00624B3C" w:rsidRPr="00624B3C" w:rsidRDefault="1E290AE8" w:rsidP="007A73FB">
      <w:pPr>
        <w:pStyle w:val="VMleipteksti"/>
        <w:spacing w:after="240"/>
        <w:ind w:left="0"/>
      </w:pPr>
      <w:r>
        <w:t>Erityisestä syystä tuen myöntäjä voi hakemuksesta myöntää poikkeuksen edellä mainituista käyttö- ja luovutusrajoituksista.</w:t>
      </w:r>
    </w:p>
    <w:p w14:paraId="6017B8E6" w14:textId="7A28E9F1" w:rsidR="00624B3C" w:rsidRPr="008D78B8" w:rsidRDefault="1E290AE8" w:rsidP="1E290AE8">
      <w:pPr>
        <w:pStyle w:val="VMleipteksti"/>
        <w:spacing w:after="240"/>
        <w:ind w:left="0"/>
        <w:rPr>
          <w:u w:val="single"/>
        </w:rPr>
      </w:pPr>
      <w:r w:rsidRPr="1E290AE8">
        <w:rPr>
          <w:u w:val="single"/>
        </w:rPr>
        <w:t>Tuen saajan selvitys- ja ilmoitusvelvollisuus</w:t>
      </w:r>
    </w:p>
    <w:p w14:paraId="32BF1B9F" w14:textId="27758962" w:rsidR="00D02FEF" w:rsidRDefault="00D02FEF" w:rsidP="007A73FB">
      <w:pPr>
        <w:pStyle w:val="VMleipteksti"/>
        <w:spacing w:after="240"/>
        <w:ind w:left="0"/>
      </w:pPr>
      <w:r>
        <w:t>Tuen saaja</w:t>
      </w:r>
      <w:r w:rsidR="007E29F7">
        <w:t>n</w:t>
      </w:r>
      <w:r>
        <w:t xml:space="preserve"> on </w:t>
      </w:r>
      <w:r w:rsidR="007E29F7">
        <w:t>viimeistään 30.6.</w:t>
      </w:r>
      <w:r w:rsidR="007E29F7" w:rsidRPr="007E29F7">
        <w:t xml:space="preserve">2026 </w:t>
      </w:r>
      <w:r>
        <w:t>toimitettava</w:t>
      </w:r>
      <w:r w:rsidR="00C465E2">
        <w:t xml:space="preserve"> tukiviranomaiselle </w:t>
      </w:r>
      <w:r w:rsidRPr="008D78B8">
        <w:rPr>
          <w:u w:val="single"/>
        </w:rPr>
        <w:t>ilmoitus hankkeen valmistumisesta</w:t>
      </w:r>
      <w:r w:rsidR="00675CEA">
        <w:rPr>
          <w:rStyle w:val="FootnoteReference"/>
        </w:rPr>
        <w:footnoteReference w:id="15"/>
      </w:r>
      <w:r>
        <w:t xml:space="preserve">. </w:t>
      </w:r>
      <w:r w:rsidR="00C465E2">
        <w:t>Tukiviranomainen</w:t>
      </w:r>
      <w:r w:rsidR="00347AD8" w:rsidRPr="00347AD8">
        <w:t xml:space="preserve"> ohjeistaa tuen saajia ilmoituksen sisällöstä.</w:t>
      </w:r>
    </w:p>
    <w:p w14:paraId="7BD422D2" w14:textId="74DE2D3B" w:rsidR="007A6B6F" w:rsidRDefault="1E290AE8" w:rsidP="007A73FB">
      <w:pPr>
        <w:pStyle w:val="VMleipteksti"/>
        <w:spacing w:after="240"/>
        <w:ind w:left="0"/>
      </w:pPr>
      <w:r>
        <w:t xml:space="preserve">Tuen saajan on toimitettava kahden vuoden kuluessa viimeisen tukierän maksamisesta tuen myöntäjälle </w:t>
      </w:r>
      <w:r w:rsidRPr="1E290AE8">
        <w:rPr>
          <w:u w:val="single"/>
        </w:rPr>
        <w:t>selvitys hankkeen</w:t>
      </w:r>
      <w:r>
        <w:t xml:space="preserve"> energiataloudellisista vaikutuksista, kasvihuonekaasupäästövaikutuksista ja </w:t>
      </w:r>
      <w:r>
        <w:lastRenderedPageBreak/>
        <w:t xml:space="preserve">muista merkityksellisistä ympäristövaikutuksista sekä työllisyysvaikutuksista ja muista </w:t>
      </w:r>
      <w:r w:rsidRPr="1E290AE8">
        <w:rPr>
          <w:u w:val="single"/>
        </w:rPr>
        <w:t>vaikutuksista</w:t>
      </w:r>
      <w:r>
        <w:t>.</w:t>
      </w:r>
    </w:p>
    <w:p w14:paraId="29471B52" w14:textId="287C27B0" w:rsidR="00DE1E13" w:rsidRDefault="1E290AE8" w:rsidP="007A73FB">
      <w:pPr>
        <w:pStyle w:val="VMleipteksti"/>
        <w:spacing w:after="240"/>
        <w:ind w:left="0"/>
      </w:pPr>
      <w:r>
        <w:t xml:space="preserve">Tuen saajan on ilmoitettava tuen myöntäjälle käyttö- tai luovutusrajoituksen noudattamiseen tai omaisuuden käyttöön tukipäätöksessä määrättyyn tarkoitukseen vaikuttavasta </w:t>
      </w:r>
      <w:r w:rsidRPr="1E290AE8">
        <w:rPr>
          <w:u w:val="single"/>
        </w:rPr>
        <w:t>olosuhteiden muutoksesta</w:t>
      </w:r>
      <w:r>
        <w:t xml:space="preserve"> välittömästi tapahtuman jälkeen, kuitenkin viimeistään kahden kuukauden kuluttua. </w:t>
      </w:r>
    </w:p>
    <w:p w14:paraId="6ECAE318" w14:textId="7852AE97" w:rsidR="00624B3C" w:rsidRPr="00624B3C" w:rsidRDefault="00D02FEF" w:rsidP="003C1281">
      <w:pPr>
        <w:pStyle w:val="VMleipteksti"/>
        <w:numPr>
          <w:ilvl w:val="0"/>
          <w:numId w:val="33"/>
        </w:numPr>
        <w:spacing w:after="240"/>
      </w:pPr>
      <w:r>
        <w:t>Tuen myöntäjä voi erityisestä syystä tuen saajan hakemuksesta</w:t>
      </w:r>
      <w:r w:rsidR="00DE1E13">
        <w:rPr>
          <w:rStyle w:val="FootnoteReference"/>
        </w:rPr>
        <w:footnoteReference w:id="16"/>
      </w:r>
      <w:r>
        <w:t xml:space="preserve"> antaa ennakkotiedon siitä, edellyttääkö olosuhteiden muutos valtionavustuslaissa tarkoitettuihin toimenpiteisiin ryhtymistä ja onko </w:t>
      </w:r>
      <w:r w:rsidR="00DE1E13" w:rsidRPr="00DE1E13">
        <w:t>käyttö- ja luovutusrajoituksista</w:t>
      </w:r>
      <w:r w:rsidR="00DE1E13">
        <w:t xml:space="preserve"> </w:t>
      </w:r>
      <w:r>
        <w:t xml:space="preserve">mahdollista myöntää poikkeus. </w:t>
      </w:r>
    </w:p>
    <w:p w14:paraId="5D3BBA0E" w14:textId="3376C75C" w:rsidR="00484C0D" w:rsidRPr="007A73FB" w:rsidRDefault="1E290AE8" w:rsidP="1E290AE8">
      <w:pPr>
        <w:pStyle w:val="VMleipteksti"/>
        <w:spacing w:before="240" w:after="240"/>
        <w:ind w:left="0"/>
        <w:rPr>
          <w:u w:val="single"/>
        </w:rPr>
      </w:pPr>
      <w:r w:rsidRPr="1E290AE8">
        <w:rPr>
          <w:u w:val="single"/>
        </w:rPr>
        <w:t>Kirjanpitovelvollisuus</w:t>
      </w:r>
    </w:p>
    <w:p w14:paraId="2215ACF0" w14:textId="528613B4" w:rsidR="00484C0D" w:rsidRDefault="1E290AE8" w:rsidP="007A73FB">
      <w:pPr>
        <w:pStyle w:val="VMleipteksti"/>
        <w:spacing w:after="240"/>
        <w:ind w:left="0"/>
      </w:pPr>
      <w:r>
        <w:t>Tuen saajan tulee pitää hankkeesta projektikirjanpitoa osana kirjanpitolain mukaista kirjanpitoaan erillisellä kustannuspaikalla tai tilillä taikka muulla tavalla siten, että tuen käytön valvonta on vaikeudetta mahdollista.</w:t>
      </w:r>
    </w:p>
    <w:p w14:paraId="321B62A2" w14:textId="0C369F4E" w:rsidR="00220A75" w:rsidRPr="008D78B8" w:rsidRDefault="1E290AE8" w:rsidP="1E290AE8">
      <w:pPr>
        <w:pStyle w:val="VMleipteksti"/>
        <w:spacing w:after="240"/>
        <w:ind w:left="0"/>
        <w:rPr>
          <w:u w:val="single"/>
        </w:rPr>
      </w:pPr>
      <w:r w:rsidRPr="1E290AE8">
        <w:rPr>
          <w:u w:val="single"/>
        </w:rPr>
        <w:t>Kirjanpito- ja muun aineiston säilyttäminen</w:t>
      </w:r>
    </w:p>
    <w:p w14:paraId="77BAEFE0" w14:textId="26E0D5AE" w:rsidR="00220A75" w:rsidRPr="008D78B8" w:rsidRDefault="1E290AE8" w:rsidP="007A73FB">
      <w:pPr>
        <w:pStyle w:val="VMleipteksti"/>
        <w:spacing w:after="240"/>
        <w:ind w:left="0"/>
      </w:pPr>
      <w:r>
        <w:t>Tuen saajan on säilytettävä kaikki hankkeeseen liittyvä kirjanpitoaineisto ja muu aineisto ainakin vuoden 2032 loppuun saakka, jotta tuen käytön valvonta on mahdollista.</w:t>
      </w:r>
    </w:p>
    <w:sectPr w:rsidR="00220A75" w:rsidRPr="008D78B8" w:rsidSect="00393D20">
      <w:headerReference w:type="default" r:id="rId23"/>
      <w:headerReference w:type="first" r:id="rId24"/>
      <w:pgSz w:w="11906" w:h="16838"/>
      <w:pgMar w:top="567" w:right="1134" w:bottom="851" w:left="1134" w:header="709" w:footer="97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C016C" w14:textId="77777777" w:rsidR="00620FF9" w:rsidRDefault="00620FF9" w:rsidP="008E0F4A">
      <w:r>
        <w:separator/>
      </w:r>
    </w:p>
  </w:endnote>
  <w:endnote w:type="continuationSeparator" w:id="0">
    <w:p w14:paraId="7E4F1AF9" w14:textId="77777777" w:rsidR="00620FF9" w:rsidRDefault="00620FF9" w:rsidP="008E0F4A">
      <w:r>
        <w:continuationSeparator/>
      </w:r>
    </w:p>
  </w:endnote>
  <w:endnote w:type="continuationNotice" w:id="1">
    <w:p w14:paraId="6A16BC1C" w14:textId="77777777" w:rsidR="00620FF9" w:rsidRDefault="00620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79E17" w14:textId="77777777" w:rsidR="00035C43" w:rsidRDefault="00035C43" w:rsidP="00FA6ACE">
    <w:pPr>
      <w:pStyle w:val="Footer"/>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6745" w14:textId="77777777" w:rsidR="00620FF9" w:rsidRDefault="00620FF9" w:rsidP="008E0F4A">
      <w:r>
        <w:separator/>
      </w:r>
    </w:p>
  </w:footnote>
  <w:footnote w:type="continuationSeparator" w:id="0">
    <w:p w14:paraId="7E3D4578" w14:textId="77777777" w:rsidR="00620FF9" w:rsidRDefault="00620FF9" w:rsidP="008E0F4A">
      <w:r>
        <w:continuationSeparator/>
      </w:r>
    </w:p>
  </w:footnote>
  <w:footnote w:type="continuationNotice" w:id="1">
    <w:p w14:paraId="63814271" w14:textId="77777777" w:rsidR="00620FF9" w:rsidRDefault="00620FF9"/>
  </w:footnote>
  <w:footnote w:id="2">
    <w:p w14:paraId="5F5C71BF" w14:textId="55BA42CE" w:rsidR="00035C43" w:rsidRPr="0094350D" w:rsidRDefault="00035C43" w:rsidP="00483097">
      <w:pPr>
        <w:pStyle w:val="FootnoteText"/>
        <w:rPr>
          <w:strike/>
        </w:rPr>
      </w:pPr>
      <w:r w:rsidRPr="0094350D">
        <w:rPr>
          <w:rStyle w:val="FootnoteReference"/>
        </w:rPr>
        <w:footnoteRef/>
      </w:r>
      <w:r w:rsidRPr="0094350D">
        <w:t xml:space="preserve"> Komission asetus (EU) N:o 651/2014, annettu 17 päivänä kesäkuuta 2014, tiettyjen tukimuotojen toteamisesta sisämarkkinoille soveltuviksi perussopimuksen 107 ja 108 artiklan mukaisesti</w:t>
      </w:r>
    </w:p>
  </w:footnote>
  <w:footnote w:id="3">
    <w:p w14:paraId="7C9E16FE" w14:textId="4A972A79" w:rsidR="00035C43" w:rsidRPr="0009569D" w:rsidDel="00FB0F34" w:rsidRDefault="00035C43">
      <w:pPr>
        <w:pStyle w:val="FootnoteText"/>
        <w:rPr>
          <w:highlight w:val="cyan"/>
        </w:rPr>
      </w:pPr>
      <w:r w:rsidRPr="0094350D" w:rsidDel="00FB0F34">
        <w:rPr>
          <w:rStyle w:val="FootnoteReference"/>
        </w:rPr>
        <w:footnoteRef/>
      </w:r>
      <w:r w:rsidRPr="0094350D" w:rsidDel="00FB0F34">
        <w:t xml:space="preserve"> Tuen myöntämisessä </w:t>
      </w:r>
      <w:r w:rsidRPr="001767D3" w:rsidDel="00FB0F34">
        <w:t>on noudatettava</w:t>
      </w:r>
      <w:r w:rsidR="00EB217F" w:rsidRPr="001767D3">
        <w:t xml:space="preserve"> voimassa olevaa</w:t>
      </w:r>
      <w:r w:rsidRPr="001767D3" w:rsidDel="00FB0F34">
        <w:t xml:space="preserve"> ryhmäpoikkeusasetuksen yhteisiä</w:t>
      </w:r>
      <w:r w:rsidRPr="0094350D" w:rsidDel="00FB0F34">
        <w:t xml:space="preserve"> säännöksiä koskevaa I lukua ja valvontaa koskevaa II lukua sekä ympäristönsuojeluun myönnettyä tukea koskevia III luvun 7 jakson säännöksistä joko 38 artiklaa (Investointituki energiatehokkuustoimenpiteisiin), 41 artiklaa (Investointituki uusiutuvista energialähteistä tuotetun energian käytön edistämiseen), 46 artiklaa (Investointituki energiatehokkaaseen kaukolämmitykseen ja -jäähdytykseen) tai 48 artiklaa (Investointituki energiainfrastruktuurille).</w:t>
      </w:r>
    </w:p>
  </w:footnote>
  <w:footnote w:id="4">
    <w:p w14:paraId="5AA1CE67" w14:textId="5DDE72B8" w:rsidR="00035C43" w:rsidDel="00300D51" w:rsidRDefault="00035C43">
      <w:pPr>
        <w:pStyle w:val="FootnoteText"/>
      </w:pPr>
      <w:r w:rsidRPr="002F56FE" w:rsidDel="00300D51">
        <w:rPr>
          <w:rStyle w:val="FootnoteReference"/>
        </w:rPr>
        <w:footnoteRef/>
      </w:r>
      <w:r w:rsidRPr="002F56FE" w:rsidDel="00300D51">
        <w:t xml:space="preserve"> Ilmoituskynnysarvoista säädetään voimassa </w:t>
      </w:r>
      <w:r w:rsidRPr="004211A1" w:rsidDel="00300D51">
        <w:t>olevan ryhmäpoikkeusasetuksen 1 luvun 4 artiklassa. Energiainvestointihankkeen ilmoitus</w:t>
      </w:r>
      <w:r w:rsidR="002F56FE" w:rsidRPr="004211A1">
        <w:t>kynnysarvo on pääsääntöisesti 30</w:t>
      </w:r>
      <w:r w:rsidRPr="004211A1" w:rsidDel="00300D51">
        <w:t xml:space="preserve"> miljoonaa euroa yritystä ja investointihanketta kohden asetuksessa erikseen määriteltyjä poikkeuksia lukuun ottamatta (4 artikla s kohta). Energiainfrastruktuurihankkeiden osalta </w:t>
      </w:r>
      <w:r w:rsidR="002F56FE" w:rsidRPr="004211A1">
        <w:t>kyseinen ilmoituskynnysarvo on 7</w:t>
      </w:r>
      <w:r w:rsidRPr="004211A1" w:rsidDel="00300D51">
        <w:t>0 miljoonaa euroa yritystä ja investointihanketta kohden. Jos tukea haetaan kaukolämmön tai kaukojäähdytyksen jakeluverkol</w:t>
      </w:r>
      <w:r w:rsidR="002F56FE" w:rsidRPr="004211A1">
        <w:t>le, kyseinen raja on kuitenkin 5</w:t>
      </w:r>
      <w:r w:rsidRPr="004211A1" w:rsidDel="00300D51">
        <w:t>0 miljoonaa euroa yritystä</w:t>
      </w:r>
      <w:r w:rsidRPr="002F56FE" w:rsidDel="00300D51">
        <w:t xml:space="preserve"> ja investointihanketta kohden. Jos tukea myönnetään sellaiselle hankkeelle, johon kohdistuu useampi kuin yksi ilmoituskynnysarvo, sovelletaan alhaisinta ilmoituskynnysarvoa.</w:t>
      </w:r>
    </w:p>
  </w:footnote>
  <w:footnote w:id="5">
    <w:p w14:paraId="0F920017" w14:textId="0E1C19B2" w:rsidR="00035C43" w:rsidRDefault="00035C43">
      <w:pPr>
        <w:pStyle w:val="FootnoteText"/>
      </w:pPr>
      <w:r w:rsidRPr="0085767B">
        <w:rPr>
          <w:rStyle w:val="FootnoteReference"/>
        </w:rPr>
        <w:footnoteRef/>
      </w:r>
      <w:r w:rsidR="00B601CB">
        <w:t xml:space="preserve"> Tukitoimiala 033 [Älykkäät energiajärjestelmät (myös älykkäät verkot ja tieto- ja viestintätekniset järjestelmät) ja niihin liittyvä varastointi], jolla on 100 prosentin ilmastokerroin (elpymis- ja palautumistukivälineen perustamisesta 12.2.2021 annetun Euroopan parlamentin ja neuvoston asetuksen (EU) 2021/241 liitteen VI mukaisesti).</w:t>
      </w:r>
    </w:p>
  </w:footnote>
  <w:footnote w:id="6">
    <w:p w14:paraId="2ADB3C68" w14:textId="26CF4E50" w:rsidR="00B601CB" w:rsidRDefault="00B601CB">
      <w:pPr>
        <w:pStyle w:val="FootnoteText"/>
      </w:pPr>
      <w:r>
        <w:rPr>
          <w:rStyle w:val="FootnoteReference"/>
        </w:rPr>
        <w:footnoteRef/>
      </w:r>
      <w:r>
        <w:t xml:space="preserve"> Tukitoimiala 033 [Älykkäät energiajärjestelmät (myös älykkäät verkot ja tieto- ja viestintätekniset järjestelmät) ja niihin liittyvä varastointi], jolla on 100 prosentin ilmastokerroin (elpymis- ja palautumistukivälineen perustamisesta</w:t>
      </w:r>
      <w:r w:rsidR="00B15A3A">
        <w:t xml:space="preserve"> 12.2.2021 annetun Euroopan parlamentin ja neuvoston asetuksen (EU) 2021/241 liitteen VI mukaisesti).</w:t>
      </w:r>
    </w:p>
  </w:footnote>
  <w:footnote w:id="7">
    <w:p w14:paraId="605246D8" w14:textId="03FDA334" w:rsidR="00035C43" w:rsidRDefault="00035C43" w:rsidP="006D2C1C">
      <w:pPr>
        <w:pStyle w:val="FootnoteText"/>
      </w:pPr>
      <w:r>
        <w:rPr>
          <w:rStyle w:val="FootnoteReference"/>
        </w:rPr>
        <w:footnoteRef/>
      </w:r>
      <w:r>
        <w:t xml:space="preserve"> </w:t>
      </w:r>
      <w:r w:rsidRPr="004A3C6C">
        <w:t xml:space="preserve">Tätä </w:t>
      </w:r>
      <w:r>
        <w:t xml:space="preserve">edellytystä </w:t>
      </w:r>
      <w:r w:rsidRPr="004A3C6C">
        <w:t>ei sovelleta kunnan tai sen pääosin omistaman yhteisön hankkeeseen siltä osin kuin kyse on kunnan myöntämästä rahoituksesta.</w:t>
      </w:r>
      <w:r>
        <w:t xml:space="preserve"> </w:t>
      </w:r>
    </w:p>
  </w:footnote>
  <w:footnote w:id="8">
    <w:p w14:paraId="74E59C05" w14:textId="5A2B8895" w:rsidR="00035C43" w:rsidRDefault="00035C43">
      <w:pPr>
        <w:pStyle w:val="FootnoteText"/>
      </w:pPr>
      <w:r>
        <w:rPr>
          <w:rStyle w:val="FootnoteReference"/>
        </w:rPr>
        <w:footnoteRef/>
      </w:r>
      <w:r>
        <w:t xml:space="preserve"> </w:t>
      </w:r>
      <w:r w:rsidRPr="00E9465D">
        <w:t>Komission tiedonanto</w:t>
      </w:r>
      <w:r>
        <w:t xml:space="preserve"> </w:t>
      </w:r>
      <w:r w:rsidRPr="00E9465D">
        <w:t>(2021/C 58/01)</w:t>
      </w:r>
    </w:p>
  </w:footnote>
  <w:footnote w:id="9">
    <w:p w14:paraId="2CA4FB28" w14:textId="6069DD62" w:rsidR="00035C43" w:rsidRDefault="00035C43" w:rsidP="00645CE1">
      <w:pPr>
        <w:pStyle w:val="FootnoteText"/>
      </w:pPr>
      <w:r>
        <w:rPr>
          <w:rStyle w:val="FootnoteReference"/>
        </w:rPr>
        <w:footnoteRef/>
      </w:r>
      <w:r>
        <w:t xml:space="preserve"> Täytäntöönpanopäätöksellä on hyväksytty Suomen elpymis- ja palautumissuunnitelma.</w:t>
      </w:r>
    </w:p>
  </w:footnote>
  <w:footnote w:id="10">
    <w:p w14:paraId="241C5B55" w14:textId="62C7D9F7" w:rsidR="00035C43" w:rsidRDefault="00035C43">
      <w:pPr>
        <w:pStyle w:val="FootnoteText"/>
      </w:pPr>
      <w:r w:rsidRPr="00056EBE">
        <w:rPr>
          <w:rStyle w:val="FootnoteReference"/>
        </w:rPr>
        <w:footnoteRef/>
      </w:r>
      <w:r w:rsidRPr="00056EBE">
        <w:t xml:space="preserve"> ks. kohta Tuettavat hankkeet</w:t>
      </w:r>
    </w:p>
  </w:footnote>
  <w:footnote w:id="11">
    <w:p w14:paraId="5A4E7112" w14:textId="3F212802" w:rsidR="00035C43" w:rsidRDefault="00035C43">
      <w:pPr>
        <w:pStyle w:val="FootnoteText"/>
      </w:pPr>
      <w:r>
        <w:rPr>
          <w:rStyle w:val="FootnoteReference"/>
        </w:rPr>
        <w:footnoteRef/>
      </w:r>
      <w:r>
        <w:t xml:space="preserve"> </w:t>
      </w:r>
      <w:r w:rsidRPr="00F435CC">
        <w:t>Hankekuvauksessa tulisi olla tieto esimerkiksi uusiutuvan energian tuotantokapasiteetist</w:t>
      </w:r>
      <w:r>
        <w:t>a ja teollisuuden energiaproses</w:t>
      </w:r>
      <w:r w:rsidRPr="00F435CC">
        <w:t>sin sähköistämistä koskevien hankkeiden osalta muun muassa tieto primäärienergian säästöstä.</w:t>
      </w:r>
    </w:p>
  </w:footnote>
  <w:footnote w:id="12">
    <w:p w14:paraId="1F8A1E01" w14:textId="73349A6A" w:rsidR="00035C43" w:rsidRPr="002B29D4" w:rsidRDefault="00035C43">
      <w:pPr>
        <w:pStyle w:val="FootnoteText"/>
      </w:pPr>
      <w:r w:rsidRPr="0085767B">
        <w:rPr>
          <w:rStyle w:val="FootnoteReference"/>
        </w:rPr>
        <w:footnoteRef/>
      </w:r>
      <w:r w:rsidRPr="0085767B">
        <w:t xml:space="preserve"> Kannattavuuslaskelmasta tulee käydä ilmi alkuperätakuuseen ja päästökauppaan liittyvät tulot.</w:t>
      </w:r>
      <w:r w:rsidRPr="002B29D4">
        <w:t xml:space="preserve"> </w:t>
      </w:r>
    </w:p>
  </w:footnote>
  <w:footnote w:id="13">
    <w:p w14:paraId="032150A4" w14:textId="4747F947" w:rsidR="00035C43" w:rsidRDefault="00035C43">
      <w:pPr>
        <w:pStyle w:val="FootnoteText"/>
      </w:pPr>
      <w:r w:rsidRPr="002B29D4">
        <w:rPr>
          <w:rStyle w:val="FootnoteReference"/>
        </w:rPr>
        <w:footnoteRef/>
      </w:r>
      <w:r w:rsidRPr="002B29D4">
        <w:t xml:space="preserve"> ks. kohta Ei merkittävää haittaa –periaatteen mukaisuuden osoittaminen</w:t>
      </w:r>
    </w:p>
  </w:footnote>
  <w:footnote w:id="14">
    <w:p w14:paraId="2DEE1D5A" w14:textId="60DB9CD7" w:rsidR="00035C43" w:rsidRDefault="00035C43">
      <w:pPr>
        <w:pStyle w:val="FootnoteText"/>
      </w:pPr>
      <w:r>
        <w:rPr>
          <w:rStyle w:val="FootnoteReference"/>
        </w:rPr>
        <w:footnoteRef/>
      </w:r>
      <w:r>
        <w:t xml:space="preserve"> </w:t>
      </w:r>
      <w:r w:rsidRPr="00F74A44">
        <w:t>Jos ostolaskujen lukumäärä hankkeessa on enintään viisi, tuen myöntäjä voi hyväksyä vaihtoehtona tilintarkastajan raportille, että hakija liittää tilitykseen kopion ostolaskuista ja maksutositteet, joista ilmenee, että laskut on maksettu.</w:t>
      </w:r>
    </w:p>
  </w:footnote>
  <w:footnote w:id="15">
    <w:p w14:paraId="63CD79C1" w14:textId="6A01B352" w:rsidR="00035C43" w:rsidRDefault="00035C43">
      <w:pPr>
        <w:pStyle w:val="FootnoteText"/>
      </w:pPr>
      <w:r>
        <w:rPr>
          <w:rStyle w:val="FootnoteReference"/>
        </w:rPr>
        <w:footnoteRef/>
      </w:r>
      <w:r>
        <w:t xml:space="preserve"> </w:t>
      </w:r>
      <w:r w:rsidRPr="00675CEA">
        <w:t xml:space="preserve">Ilmoitusta ei tarvitse toimittaa, jos tuen saaja on toimittanut hakemuksen viimeisen maksuerän maksamiseksi ennen </w:t>
      </w:r>
      <w:r>
        <w:t>30.6.2026</w:t>
      </w:r>
      <w:r w:rsidRPr="00675CEA">
        <w:t>.</w:t>
      </w:r>
    </w:p>
  </w:footnote>
  <w:footnote w:id="16">
    <w:p w14:paraId="41418C93" w14:textId="31513356" w:rsidR="00035C43" w:rsidRDefault="00035C43">
      <w:pPr>
        <w:pStyle w:val="FootnoteText"/>
      </w:pPr>
      <w:r>
        <w:rPr>
          <w:rStyle w:val="FootnoteReference"/>
        </w:rPr>
        <w:footnoteRef/>
      </w:r>
      <w:r>
        <w:t xml:space="preserve"> </w:t>
      </w:r>
      <w:r w:rsidRPr="00DE1E13">
        <w:t>Ennakkotietoa koskevassa hakemuksessa tulee esittää asian arvioimiseksi ja ratkaisemiseksi tarvittava selvitys, ja sitä voi hakea aikaisintaan kolme kuukautta ennen kuin olosuhteiden muutos on tarkoitus toteuttaa.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6CDE0D51" w14:textId="6ED18A0A" w:rsidR="00035C43" w:rsidRDefault="00035C43" w:rsidP="00562E6B">
        <w:pPr>
          <w:ind w:right="-143" w:firstLine="8789"/>
          <w:jc w:val="center"/>
        </w:pPr>
        <w:r>
          <w:fldChar w:fldCharType="begin"/>
        </w:r>
        <w:r>
          <w:instrText xml:space="preserve"> PAGE   \* MERGEFORMAT </w:instrText>
        </w:r>
        <w:r>
          <w:fldChar w:fldCharType="separate"/>
        </w:r>
        <w:r>
          <w:rPr>
            <w:noProof/>
          </w:rPr>
          <w:t>4</w:t>
        </w:r>
        <w:r>
          <w:rPr>
            <w:noProof/>
          </w:rPr>
          <w:fldChar w:fldCharType="end"/>
        </w:r>
        <w:r>
          <w:t>(</w:t>
        </w:r>
        <w:r w:rsidR="00620FF9">
          <w:fldChar w:fldCharType="begin"/>
        </w:r>
        <w:r w:rsidR="00620FF9">
          <w:instrText xml:space="preserve"> NUMPAGES   \* MERGEFORMAT </w:instrText>
        </w:r>
        <w:r w:rsidR="00620FF9">
          <w:fldChar w:fldCharType="separate"/>
        </w:r>
        <w:r>
          <w:rPr>
            <w:noProof/>
          </w:rPr>
          <w:t>18</w:t>
        </w:r>
        <w:r w:rsidR="00620FF9">
          <w:rPr>
            <w:noProof/>
          </w:rPr>
          <w:fldChar w:fldCharType="end"/>
        </w:r>
        <w:r>
          <w:t>)</w:t>
        </w:r>
      </w:p>
      <w:p w14:paraId="1DB1CF38" w14:textId="77777777" w:rsidR="00035C43" w:rsidRDefault="00035C43" w:rsidP="00562E6B">
        <w:pPr>
          <w:tabs>
            <w:tab w:val="left" w:pos="5245"/>
          </w:tabs>
        </w:pPr>
        <w:r>
          <w:tab/>
        </w:r>
      </w:p>
      <w:p w14:paraId="4967554F" w14:textId="77777777" w:rsidR="00035C43" w:rsidRDefault="00035C43" w:rsidP="00562E6B"/>
      <w:p w14:paraId="1C4099DC" w14:textId="77777777" w:rsidR="00035C43" w:rsidRDefault="00620FF9"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48E11" w14:textId="113E5EE5" w:rsidR="00035C43" w:rsidRDefault="00035C43" w:rsidP="003128F2">
    <w:r w:rsidRPr="003128F2">
      <w:rPr>
        <w:noProof/>
        <w:lang w:val="en-GB" w:eastAsia="en-GB"/>
      </w:rPr>
      <w:drawing>
        <wp:anchor distT="0" distB="0" distL="114300" distR="114300" simplePos="0" relativeHeight="251658241" behindDoc="0" locked="0" layoutInCell="1" allowOverlap="1" wp14:anchorId="5DFBBA5D" wp14:editId="2D9B048B">
          <wp:simplePos x="0" y="0"/>
          <wp:positionH relativeFrom="column">
            <wp:posOffset>3157220</wp:posOffset>
          </wp:positionH>
          <wp:positionV relativeFrom="paragraph">
            <wp:posOffset>-1621876</wp:posOffset>
          </wp:positionV>
          <wp:extent cx="2389789" cy="629419"/>
          <wp:effectExtent l="0" t="0" r="0" b="0"/>
          <wp:wrapSquare wrapText="bothSides"/>
          <wp:docPr id="3" name="Kuva 3" descr="C:\Users\03095605\Work Folders\TEM Saara Ylikraka\RRF\Logot\EU_disclaimer_kestavakasvu_FI black (1).png" title="Euroopan unionin rahoit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3095605\Work Folders\TEM Saara Ylikraka\RRF\Logot\EU_disclaimer_kestavakasvu_FI black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9789" cy="629419"/>
                  </a:xfrm>
                  <a:prstGeom prst="rect">
                    <a:avLst/>
                  </a:prstGeom>
                  <a:noFill/>
                  <a:ln>
                    <a:noFill/>
                  </a:ln>
                </pic:spPr>
              </pic:pic>
            </a:graphicData>
          </a:graphic>
        </wp:anchor>
      </w:drawing>
    </w:r>
    <w:r w:rsidRPr="003128F2">
      <w:rPr>
        <w:noProof/>
        <w:lang w:val="en-GB" w:eastAsia="en-GB"/>
      </w:rPr>
      <w:drawing>
        <wp:anchor distT="0" distB="288290" distL="114300" distR="114300" simplePos="0" relativeHeight="251660289" behindDoc="1" locked="1" layoutInCell="1" allowOverlap="1" wp14:anchorId="67CFFDD1" wp14:editId="41F87455">
          <wp:simplePos x="0" y="0"/>
          <wp:positionH relativeFrom="page">
            <wp:posOffset>988695</wp:posOffset>
          </wp:positionH>
          <wp:positionV relativeFrom="page">
            <wp:posOffset>594995</wp:posOffset>
          </wp:positionV>
          <wp:extent cx="1623060" cy="859790"/>
          <wp:effectExtent l="0" t="0" r="0" b="0"/>
          <wp:wrapSquare wrapText="bothSides"/>
          <wp:docPr id="2" name="Kuva 62" descr="Työ- ja elinkeinoministeriön tunnus">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a14="http://schemas.microsoft.com/office/drawing/2010/main" xmlns:pic="http://schemas.openxmlformats.org/drawingml/2006/pictur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62" descr="Työ- ja elinkeinoministeriön tunnus">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a14="http://schemas.microsoft.com/office/drawing/2010/main"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06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48375" w14:textId="77777777" w:rsidR="00035C43" w:rsidRDefault="00035C43" w:rsidP="00CB4C78"/>
  <w:p w14:paraId="2394039C" w14:textId="77777777" w:rsidR="00035C43" w:rsidRDefault="00035C43" w:rsidP="00CB4C7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781867"/>
      <w:docPartObj>
        <w:docPartGallery w:val="Page Numbers (Top of Page)"/>
        <w:docPartUnique/>
      </w:docPartObj>
    </w:sdtPr>
    <w:sdtEndPr/>
    <w:sdtContent>
      <w:p w14:paraId="0D329F39" w14:textId="43786886" w:rsidR="00035C43" w:rsidRDefault="00035C43">
        <w:pPr>
          <w:pStyle w:val="Header"/>
          <w:jc w:val="right"/>
        </w:pPr>
        <w:r>
          <w:fldChar w:fldCharType="begin"/>
        </w:r>
        <w:r>
          <w:instrText>PAGE   \* MERGEFORMAT</w:instrText>
        </w:r>
        <w:r>
          <w:fldChar w:fldCharType="separate"/>
        </w:r>
        <w:r w:rsidR="00F7130E">
          <w:rPr>
            <w:noProof/>
          </w:rPr>
          <w:t>13</w:t>
        </w:r>
        <w:r>
          <w:fldChar w:fldCharType="end"/>
        </w:r>
      </w:p>
    </w:sdtContent>
  </w:sdt>
  <w:p w14:paraId="462A470E" w14:textId="46815238" w:rsidR="00035C43" w:rsidRDefault="00035C43" w:rsidP="00562E6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B030" w14:textId="77777777" w:rsidR="00035C43" w:rsidRDefault="00035C43" w:rsidP="00CB4C78"/>
  <w:p w14:paraId="2CB10000" w14:textId="77777777" w:rsidR="00035C43" w:rsidRDefault="00035C43"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D3D"/>
    <w:multiLevelType w:val="hybridMultilevel"/>
    <w:tmpl w:val="384AF4B8"/>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5F23E11"/>
    <w:multiLevelType w:val="hybridMultilevel"/>
    <w:tmpl w:val="A69A0F78"/>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4" w15:restartNumberingAfterBreak="0">
    <w:nsid w:val="09D13DDE"/>
    <w:multiLevelType w:val="hybridMultilevel"/>
    <w:tmpl w:val="423EA772"/>
    <w:lvl w:ilvl="0" w:tplc="11460858">
      <w:start w:val="1"/>
      <w:numFmt w:val="bullet"/>
      <w:lvlText w:val="-"/>
      <w:lvlJc w:val="left"/>
      <w:pPr>
        <w:ind w:left="360" w:hanging="360"/>
      </w:pPr>
      <w:rPr>
        <w:rFonts w:ascii="Courier New" w:hAnsi="Courier New"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D3D12CF"/>
    <w:multiLevelType w:val="multilevel"/>
    <w:tmpl w:val="3DCC3146"/>
    <w:lvl w:ilvl="0">
      <w:start w:val="1"/>
      <w:numFmt w:val="decimal"/>
      <w:pStyle w:val="VMOtsikkonum1"/>
      <w:suff w:val="space"/>
      <w:lvlText w:val="%1"/>
      <w:lvlJc w:val="left"/>
      <w:pPr>
        <w:ind w:left="4405" w:hanging="720"/>
      </w:pPr>
      <w:rPr>
        <w:rFonts w:hint="default"/>
      </w:rPr>
    </w:lvl>
    <w:lvl w:ilvl="1">
      <w:start w:val="1"/>
      <w:numFmt w:val="decimal"/>
      <w:pStyle w:val="VMOtsikkonum2"/>
      <w:suff w:val="space"/>
      <w:lvlText w:val="%1.%2"/>
      <w:lvlJc w:val="left"/>
      <w:pPr>
        <w:ind w:left="1860" w:hanging="1151"/>
      </w:pPr>
      <w:rPr>
        <w:rFonts w:hint="default"/>
        <w:color w:val="auto"/>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6" w15:restartNumberingAfterBreak="0">
    <w:nsid w:val="0F77703D"/>
    <w:multiLevelType w:val="hybridMultilevel"/>
    <w:tmpl w:val="5A9C878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3B06BBD"/>
    <w:multiLevelType w:val="hybridMultilevel"/>
    <w:tmpl w:val="DC122398"/>
    <w:lvl w:ilvl="0" w:tplc="040B0011">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8" w15:restartNumberingAfterBreak="0">
    <w:nsid w:val="1A7955AD"/>
    <w:multiLevelType w:val="hybridMultilevel"/>
    <w:tmpl w:val="E5044A3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8366353"/>
    <w:multiLevelType w:val="hybridMultilevel"/>
    <w:tmpl w:val="6458E3E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8F333D9"/>
    <w:multiLevelType w:val="hybridMultilevel"/>
    <w:tmpl w:val="9CE4402E"/>
    <w:lvl w:ilvl="0" w:tplc="11460858">
      <w:start w:val="1"/>
      <w:numFmt w:val="bullet"/>
      <w:lvlText w:val="-"/>
      <w:lvlJc w:val="left"/>
      <w:pPr>
        <w:ind w:left="360" w:hanging="360"/>
      </w:pPr>
      <w:rPr>
        <w:rFonts w:ascii="Courier New" w:hAnsi="Courier New"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A6C3397"/>
    <w:multiLevelType w:val="hybridMultilevel"/>
    <w:tmpl w:val="16CE39E6"/>
    <w:lvl w:ilvl="0" w:tplc="4D3A2244">
      <w:start w:val="2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C9B6B37"/>
    <w:multiLevelType w:val="hybridMultilevel"/>
    <w:tmpl w:val="65502B82"/>
    <w:lvl w:ilvl="0" w:tplc="F760C104">
      <w:start w:val="2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F445FE"/>
    <w:multiLevelType w:val="hybridMultilevel"/>
    <w:tmpl w:val="E730B48E"/>
    <w:lvl w:ilvl="0" w:tplc="83C460AA">
      <w:start w:val="1"/>
      <w:numFmt w:val="lowerRoman"/>
      <w:lvlText w:val="%1)"/>
      <w:lvlJc w:val="left"/>
      <w:pPr>
        <w:ind w:left="1440" w:hanging="72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2EF94873"/>
    <w:multiLevelType w:val="hybridMultilevel"/>
    <w:tmpl w:val="17A0C39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1105CB7"/>
    <w:multiLevelType w:val="hybridMultilevel"/>
    <w:tmpl w:val="245E99C0"/>
    <w:lvl w:ilvl="0" w:tplc="040B0011">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6" w15:restartNumberingAfterBreak="0">
    <w:nsid w:val="326C1B6A"/>
    <w:multiLevelType w:val="hybridMultilevel"/>
    <w:tmpl w:val="3666759E"/>
    <w:lvl w:ilvl="0" w:tplc="E8C8EDF4">
      <w:start w:val="10"/>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28E3033"/>
    <w:multiLevelType w:val="hybridMultilevel"/>
    <w:tmpl w:val="A4746F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34E74CF"/>
    <w:multiLevelType w:val="hybridMultilevel"/>
    <w:tmpl w:val="126ADFA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57F1639"/>
    <w:multiLevelType w:val="hybridMultilevel"/>
    <w:tmpl w:val="D564078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7FC00F6"/>
    <w:multiLevelType w:val="hybridMultilevel"/>
    <w:tmpl w:val="8486894E"/>
    <w:lvl w:ilvl="0" w:tplc="1EB8EC94">
      <w:start w:val="5"/>
      <w:numFmt w:val="bullet"/>
      <w:lvlText w:val="-"/>
      <w:lvlJc w:val="left"/>
      <w:pPr>
        <w:ind w:left="720" w:hanging="360"/>
      </w:pPr>
      <w:rPr>
        <w:rFonts w:ascii="Tahoma-Bold" w:eastAsia="Times New Roman" w:hAnsi="Tahoma-Bold" w:cs="Tahoma-Bol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8D4644D"/>
    <w:multiLevelType w:val="hybridMultilevel"/>
    <w:tmpl w:val="66449784"/>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2" w15:restartNumberingAfterBreak="0">
    <w:nsid w:val="3AA80A08"/>
    <w:multiLevelType w:val="hybridMultilevel"/>
    <w:tmpl w:val="34B44302"/>
    <w:lvl w:ilvl="0" w:tplc="22BA8EF8">
      <w:start w:val="1"/>
      <w:numFmt w:val="lowerRoman"/>
      <w:lvlText w:val="%1)"/>
      <w:lvlJc w:val="left"/>
      <w:pPr>
        <w:ind w:left="1440" w:hanging="72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3C722144"/>
    <w:multiLevelType w:val="hybridMultilevel"/>
    <w:tmpl w:val="E5044A3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3E435776"/>
    <w:multiLevelType w:val="hybridMultilevel"/>
    <w:tmpl w:val="F3A2197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3EC97905"/>
    <w:multiLevelType w:val="hybridMultilevel"/>
    <w:tmpl w:val="063473CE"/>
    <w:lvl w:ilvl="0" w:tplc="22BA8EF8">
      <w:start w:val="1"/>
      <w:numFmt w:val="lowerRoman"/>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6" w15:restartNumberingAfterBreak="0">
    <w:nsid w:val="4538300A"/>
    <w:multiLevelType w:val="hybridMultilevel"/>
    <w:tmpl w:val="10503C68"/>
    <w:lvl w:ilvl="0" w:tplc="040B0011">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4E8749DF"/>
    <w:multiLevelType w:val="hybridMultilevel"/>
    <w:tmpl w:val="A44A55FA"/>
    <w:lvl w:ilvl="0" w:tplc="8FDC59C8">
      <w:start w:val="20"/>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C6B35A8"/>
    <w:multiLevelType w:val="hybridMultilevel"/>
    <w:tmpl w:val="B9383C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E8C6F12"/>
    <w:multiLevelType w:val="hybridMultilevel"/>
    <w:tmpl w:val="33A24F8E"/>
    <w:lvl w:ilvl="0" w:tplc="B0B2452C">
      <w:start w:val="3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1C68E9"/>
    <w:multiLevelType w:val="hybridMultilevel"/>
    <w:tmpl w:val="17A0C39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27C0431"/>
    <w:multiLevelType w:val="hybridMultilevel"/>
    <w:tmpl w:val="F948E35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3A63315"/>
    <w:multiLevelType w:val="hybridMultilevel"/>
    <w:tmpl w:val="A502EA40"/>
    <w:lvl w:ilvl="0" w:tplc="11460858">
      <w:start w:val="1"/>
      <w:numFmt w:val="bullet"/>
      <w:lvlText w:val="-"/>
      <w:lvlJc w:val="left"/>
      <w:pPr>
        <w:ind w:left="360" w:hanging="360"/>
      </w:pPr>
      <w:rPr>
        <w:rFonts w:ascii="Courier New" w:hAnsi="Courier New"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68780CA6"/>
    <w:multiLevelType w:val="hybridMultilevel"/>
    <w:tmpl w:val="BF98E1A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D3E2878"/>
    <w:multiLevelType w:val="hybridMultilevel"/>
    <w:tmpl w:val="53E84F8A"/>
    <w:lvl w:ilvl="0" w:tplc="EE98E8A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6" w15:restartNumberingAfterBreak="0">
    <w:nsid w:val="6F7E12D5"/>
    <w:multiLevelType w:val="hybridMultilevel"/>
    <w:tmpl w:val="38A682C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7A71F50"/>
    <w:multiLevelType w:val="hybridMultilevel"/>
    <w:tmpl w:val="8F1A54A0"/>
    <w:lvl w:ilvl="0" w:tplc="BDA4B68C">
      <w:start w:val="2"/>
      <w:numFmt w:val="bullet"/>
      <w:lvlText w:val="-"/>
      <w:lvlJc w:val="left"/>
      <w:pPr>
        <w:ind w:left="720" w:hanging="360"/>
      </w:pPr>
      <w:rPr>
        <w:rFonts w:ascii="Tahoma-Bold" w:eastAsia="Times New Roman" w:hAnsi="Tahoma-Bold" w:cs="Tahoma-Bold"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85B0D92"/>
    <w:multiLevelType w:val="hybridMultilevel"/>
    <w:tmpl w:val="B62AF382"/>
    <w:lvl w:ilvl="0" w:tplc="040B0011">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39" w15:restartNumberingAfterBreak="0">
    <w:nsid w:val="78D676B2"/>
    <w:multiLevelType w:val="hybridMultilevel"/>
    <w:tmpl w:val="BFFA71CC"/>
    <w:lvl w:ilvl="0" w:tplc="11460858">
      <w:start w:val="1"/>
      <w:numFmt w:val="bullet"/>
      <w:lvlText w:val="-"/>
      <w:lvlJc w:val="left"/>
      <w:pPr>
        <w:ind w:left="360" w:hanging="360"/>
      </w:pPr>
      <w:rPr>
        <w:rFonts w:ascii="Courier New" w:hAnsi="Courier New"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15:restartNumberingAfterBreak="0">
    <w:nsid w:val="7AB82E9D"/>
    <w:multiLevelType w:val="hybridMultilevel"/>
    <w:tmpl w:val="38A682C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42" w15:restartNumberingAfterBreak="0">
    <w:nsid w:val="7FAC4D3A"/>
    <w:multiLevelType w:val="hybridMultilevel"/>
    <w:tmpl w:val="CF546070"/>
    <w:lvl w:ilvl="0" w:tplc="040B0011">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28"/>
  </w:num>
  <w:num w:numId="2">
    <w:abstractNumId w:val="41"/>
  </w:num>
  <w:num w:numId="3">
    <w:abstractNumId w:val="2"/>
  </w:num>
  <w:num w:numId="4">
    <w:abstractNumId w:val="3"/>
  </w:num>
  <w:num w:numId="5">
    <w:abstractNumId w:val="5"/>
  </w:num>
  <w:num w:numId="6">
    <w:abstractNumId w:val="20"/>
  </w:num>
  <w:num w:numId="7">
    <w:abstractNumId w:val="37"/>
  </w:num>
  <w:num w:numId="8">
    <w:abstractNumId w:val="31"/>
  </w:num>
  <w:num w:numId="9">
    <w:abstractNumId w:val="17"/>
  </w:num>
  <w:num w:numId="10">
    <w:abstractNumId w:val="19"/>
  </w:num>
  <w:num w:numId="11">
    <w:abstractNumId w:val="14"/>
  </w:num>
  <w:num w:numId="12">
    <w:abstractNumId w:val="29"/>
  </w:num>
  <w:num w:numId="13">
    <w:abstractNumId w:val="24"/>
  </w:num>
  <w:num w:numId="14">
    <w:abstractNumId w:val="8"/>
  </w:num>
  <w:num w:numId="15">
    <w:abstractNumId w:val="40"/>
  </w:num>
  <w:num w:numId="16">
    <w:abstractNumId w:val="36"/>
  </w:num>
  <w:num w:numId="17">
    <w:abstractNumId w:val="18"/>
  </w:num>
  <w:num w:numId="18">
    <w:abstractNumId w:val="22"/>
  </w:num>
  <w:num w:numId="19">
    <w:abstractNumId w:val="13"/>
  </w:num>
  <w:num w:numId="20">
    <w:abstractNumId w:val="23"/>
  </w:num>
  <w:num w:numId="21">
    <w:abstractNumId w:val="5"/>
  </w:num>
  <w:num w:numId="22">
    <w:abstractNumId w:val="5"/>
  </w:num>
  <w:num w:numId="23">
    <w:abstractNumId w:val="9"/>
  </w:num>
  <w:num w:numId="24">
    <w:abstractNumId w:val="1"/>
  </w:num>
  <w:num w:numId="25">
    <w:abstractNumId w:val="38"/>
  </w:num>
  <w:num w:numId="26">
    <w:abstractNumId w:val="7"/>
  </w:num>
  <w:num w:numId="27">
    <w:abstractNumId w:val="26"/>
  </w:num>
  <w:num w:numId="28">
    <w:abstractNumId w:val="25"/>
  </w:num>
  <w:num w:numId="29">
    <w:abstractNumId w:val="42"/>
  </w:num>
  <w:num w:numId="30">
    <w:abstractNumId w:val="10"/>
  </w:num>
  <w:num w:numId="31">
    <w:abstractNumId w:val="39"/>
  </w:num>
  <w:num w:numId="32">
    <w:abstractNumId w:val="4"/>
  </w:num>
  <w:num w:numId="33">
    <w:abstractNumId w:val="33"/>
  </w:num>
  <w:num w:numId="34">
    <w:abstractNumId w:val="34"/>
  </w:num>
  <w:num w:numId="35">
    <w:abstractNumId w:val="21"/>
  </w:num>
  <w:num w:numId="36">
    <w:abstractNumId w:val="32"/>
  </w:num>
  <w:num w:numId="37">
    <w:abstractNumId w:val="15"/>
  </w:num>
  <w:num w:numId="38">
    <w:abstractNumId w:val="6"/>
  </w:num>
  <w:num w:numId="39">
    <w:abstractNumId w:val="0"/>
  </w:num>
  <w:num w:numId="40">
    <w:abstractNumId w:val="30"/>
  </w:num>
  <w:num w:numId="41">
    <w:abstractNumId w:val="27"/>
  </w:num>
  <w:num w:numId="42">
    <w:abstractNumId w:val="11"/>
  </w:num>
  <w:num w:numId="43">
    <w:abstractNumId w:val="16"/>
  </w:num>
  <w:num w:numId="44">
    <w:abstractNumId w:val="5"/>
  </w:num>
  <w:num w:numId="45">
    <w:abstractNumId w:val="12"/>
  </w:num>
  <w:num w:numId="4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1D"/>
    <w:rsid w:val="00001087"/>
    <w:rsid w:val="00001624"/>
    <w:rsid w:val="00003A40"/>
    <w:rsid w:val="00003DD0"/>
    <w:rsid w:val="000046D6"/>
    <w:rsid w:val="00007801"/>
    <w:rsid w:val="00007DF6"/>
    <w:rsid w:val="00010A9B"/>
    <w:rsid w:val="00011117"/>
    <w:rsid w:val="000122F3"/>
    <w:rsid w:val="0001435A"/>
    <w:rsid w:val="00016E55"/>
    <w:rsid w:val="00020721"/>
    <w:rsid w:val="000207A3"/>
    <w:rsid w:val="000211E2"/>
    <w:rsid w:val="00023F1F"/>
    <w:rsid w:val="00024360"/>
    <w:rsid w:val="000243B4"/>
    <w:rsid w:val="000257BE"/>
    <w:rsid w:val="00027E47"/>
    <w:rsid w:val="000310C0"/>
    <w:rsid w:val="0003182E"/>
    <w:rsid w:val="00032C31"/>
    <w:rsid w:val="0003339F"/>
    <w:rsid w:val="00033A0F"/>
    <w:rsid w:val="00034F17"/>
    <w:rsid w:val="00035C24"/>
    <w:rsid w:val="00035C43"/>
    <w:rsid w:val="0003752A"/>
    <w:rsid w:val="00040145"/>
    <w:rsid w:val="0004202C"/>
    <w:rsid w:val="0004347C"/>
    <w:rsid w:val="00044A40"/>
    <w:rsid w:val="0004502B"/>
    <w:rsid w:val="000453FA"/>
    <w:rsid w:val="0004604E"/>
    <w:rsid w:val="000508C3"/>
    <w:rsid w:val="000509CC"/>
    <w:rsid w:val="00050C46"/>
    <w:rsid w:val="00051772"/>
    <w:rsid w:val="00052B64"/>
    <w:rsid w:val="0005318E"/>
    <w:rsid w:val="00053D44"/>
    <w:rsid w:val="00056EBE"/>
    <w:rsid w:val="00057565"/>
    <w:rsid w:val="00062B62"/>
    <w:rsid w:val="00063ECB"/>
    <w:rsid w:val="00063F74"/>
    <w:rsid w:val="000712E7"/>
    <w:rsid w:val="000723B5"/>
    <w:rsid w:val="00072D10"/>
    <w:rsid w:val="000731F8"/>
    <w:rsid w:val="0007383E"/>
    <w:rsid w:val="00073B10"/>
    <w:rsid w:val="0007467A"/>
    <w:rsid w:val="00074E18"/>
    <w:rsid w:val="00075991"/>
    <w:rsid w:val="00081B6F"/>
    <w:rsid w:val="00081D17"/>
    <w:rsid w:val="00081E22"/>
    <w:rsid w:val="00082D38"/>
    <w:rsid w:val="00084050"/>
    <w:rsid w:val="0008523E"/>
    <w:rsid w:val="000853D2"/>
    <w:rsid w:val="00085D16"/>
    <w:rsid w:val="0008789F"/>
    <w:rsid w:val="00090E2E"/>
    <w:rsid w:val="00093768"/>
    <w:rsid w:val="000954A7"/>
    <w:rsid w:val="0009569D"/>
    <w:rsid w:val="000960D1"/>
    <w:rsid w:val="000A03CD"/>
    <w:rsid w:val="000A0C52"/>
    <w:rsid w:val="000A2506"/>
    <w:rsid w:val="000A2B36"/>
    <w:rsid w:val="000A520D"/>
    <w:rsid w:val="000B1543"/>
    <w:rsid w:val="000B2F3C"/>
    <w:rsid w:val="000B3024"/>
    <w:rsid w:val="000B405A"/>
    <w:rsid w:val="000B4A08"/>
    <w:rsid w:val="000B5C82"/>
    <w:rsid w:val="000B60BF"/>
    <w:rsid w:val="000B6F70"/>
    <w:rsid w:val="000B7072"/>
    <w:rsid w:val="000C01E1"/>
    <w:rsid w:val="000C272A"/>
    <w:rsid w:val="000C375A"/>
    <w:rsid w:val="000C4BFF"/>
    <w:rsid w:val="000C5EA7"/>
    <w:rsid w:val="000D3235"/>
    <w:rsid w:val="000D3461"/>
    <w:rsid w:val="000D5E6D"/>
    <w:rsid w:val="000D7511"/>
    <w:rsid w:val="000D7E3E"/>
    <w:rsid w:val="000E01A7"/>
    <w:rsid w:val="000E3D6A"/>
    <w:rsid w:val="000E46F3"/>
    <w:rsid w:val="000E6162"/>
    <w:rsid w:val="000F038D"/>
    <w:rsid w:val="000F0583"/>
    <w:rsid w:val="000F0F93"/>
    <w:rsid w:val="000F4352"/>
    <w:rsid w:val="000F46C8"/>
    <w:rsid w:val="000F4D11"/>
    <w:rsid w:val="000F4EF3"/>
    <w:rsid w:val="001013E6"/>
    <w:rsid w:val="001104AE"/>
    <w:rsid w:val="00115808"/>
    <w:rsid w:val="00117EC4"/>
    <w:rsid w:val="00120A27"/>
    <w:rsid w:val="00121E53"/>
    <w:rsid w:val="00122958"/>
    <w:rsid w:val="00123D75"/>
    <w:rsid w:val="00124155"/>
    <w:rsid w:val="0012554C"/>
    <w:rsid w:val="0012715B"/>
    <w:rsid w:val="00131BAE"/>
    <w:rsid w:val="001342A4"/>
    <w:rsid w:val="001349B3"/>
    <w:rsid w:val="0013675F"/>
    <w:rsid w:val="0014126C"/>
    <w:rsid w:val="001412BD"/>
    <w:rsid w:val="00141A87"/>
    <w:rsid w:val="001431B7"/>
    <w:rsid w:val="00144D34"/>
    <w:rsid w:val="00145155"/>
    <w:rsid w:val="00147111"/>
    <w:rsid w:val="00147CC6"/>
    <w:rsid w:val="00150080"/>
    <w:rsid w:val="001511DA"/>
    <w:rsid w:val="001524DA"/>
    <w:rsid w:val="00152574"/>
    <w:rsid w:val="00154120"/>
    <w:rsid w:val="00154D91"/>
    <w:rsid w:val="00155F3B"/>
    <w:rsid w:val="0015610F"/>
    <w:rsid w:val="00157B6F"/>
    <w:rsid w:val="00160424"/>
    <w:rsid w:val="00162A29"/>
    <w:rsid w:val="001630A3"/>
    <w:rsid w:val="0016454A"/>
    <w:rsid w:val="00164B65"/>
    <w:rsid w:val="001654E5"/>
    <w:rsid w:val="00166532"/>
    <w:rsid w:val="0017233C"/>
    <w:rsid w:val="001767D3"/>
    <w:rsid w:val="00176CA1"/>
    <w:rsid w:val="00177640"/>
    <w:rsid w:val="001776E9"/>
    <w:rsid w:val="001817E4"/>
    <w:rsid w:val="00181BC7"/>
    <w:rsid w:val="00182937"/>
    <w:rsid w:val="00183A26"/>
    <w:rsid w:val="00183F1B"/>
    <w:rsid w:val="0018472E"/>
    <w:rsid w:val="001848C6"/>
    <w:rsid w:val="00191A37"/>
    <w:rsid w:val="00196508"/>
    <w:rsid w:val="00196C17"/>
    <w:rsid w:val="001A0264"/>
    <w:rsid w:val="001A1123"/>
    <w:rsid w:val="001A15AF"/>
    <w:rsid w:val="001A4FB7"/>
    <w:rsid w:val="001A51CD"/>
    <w:rsid w:val="001A55D9"/>
    <w:rsid w:val="001A6642"/>
    <w:rsid w:val="001A7DE9"/>
    <w:rsid w:val="001B078B"/>
    <w:rsid w:val="001B1A47"/>
    <w:rsid w:val="001B43F3"/>
    <w:rsid w:val="001C0391"/>
    <w:rsid w:val="001C609B"/>
    <w:rsid w:val="001C7197"/>
    <w:rsid w:val="001C7DCF"/>
    <w:rsid w:val="001D1351"/>
    <w:rsid w:val="001D1C01"/>
    <w:rsid w:val="001D2601"/>
    <w:rsid w:val="001D29B2"/>
    <w:rsid w:val="001D7A0C"/>
    <w:rsid w:val="001E1CF0"/>
    <w:rsid w:val="001E5F86"/>
    <w:rsid w:val="001F0037"/>
    <w:rsid w:val="001F010A"/>
    <w:rsid w:val="001F5941"/>
    <w:rsid w:val="001F65BC"/>
    <w:rsid w:val="001F6B9A"/>
    <w:rsid w:val="001F70AF"/>
    <w:rsid w:val="001F74D0"/>
    <w:rsid w:val="001F7D28"/>
    <w:rsid w:val="002004D5"/>
    <w:rsid w:val="00200E2D"/>
    <w:rsid w:val="00201CCD"/>
    <w:rsid w:val="002021EA"/>
    <w:rsid w:val="002027D0"/>
    <w:rsid w:val="00202F1A"/>
    <w:rsid w:val="00203840"/>
    <w:rsid w:val="00203A52"/>
    <w:rsid w:val="00204C32"/>
    <w:rsid w:val="002071B0"/>
    <w:rsid w:val="00210152"/>
    <w:rsid w:val="00213238"/>
    <w:rsid w:val="002134EF"/>
    <w:rsid w:val="002139C1"/>
    <w:rsid w:val="00214C19"/>
    <w:rsid w:val="00214EA1"/>
    <w:rsid w:val="0022004A"/>
    <w:rsid w:val="00220A75"/>
    <w:rsid w:val="0022120A"/>
    <w:rsid w:val="00226F8D"/>
    <w:rsid w:val="002322B5"/>
    <w:rsid w:val="002322C7"/>
    <w:rsid w:val="002332A1"/>
    <w:rsid w:val="00234DFC"/>
    <w:rsid w:val="00235E65"/>
    <w:rsid w:val="002373F4"/>
    <w:rsid w:val="00240FFE"/>
    <w:rsid w:val="002435E3"/>
    <w:rsid w:val="00243F73"/>
    <w:rsid w:val="00243FC3"/>
    <w:rsid w:val="002506E5"/>
    <w:rsid w:val="0025117C"/>
    <w:rsid w:val="00256346"/>
    <w:rsid w:val="0026371B"/>
    <w:rsid w:val="00267E8B"/>
    <w:rsid w:val="0027096B"/>
    <w:rsid w:val="00270D76"/>
    <w:rsid w:val="0027681D"/>
    <w:rsid w:val="00277B6B"/>
    <w:rsid w:val="002821B7"/>
    <w:rsid w:val="00283346"/>
    <w:rsid w:val="00283C08"/>
    <w:rsid w:val="00284755"/>
    <w:rsid w:val="002852B8"/>
    <w:rsid w:val="002857C9"/>
    <w:rsid w:val="00285BA1"/>
    <w:rsid w:val="00287CFA"/>
    <w:rsid w:val="002907C7"/>
    <w:rsid w:val="00292B1C"/>
    <w:rsid w:val="00292DED"/>
    <w:rsid w:val="00295B2D"/>
    <w:rsid w:val="00296889"/>
    <w:rsid w:val="002975EF"/>
    <w:rsid w:val="002979F5"/>
    <w:rsid w:val="00297EEE"/>
    <w:rsid w:val="002A13C4"/>
    <w:rsid w:val="002A3773"/>
    <w:rsid w:val="002A398F"/>
    <w:rsid w:val="002A425E"/>
    <w:rsid w:val="002A4EED"/>
    <w:rsid w:val="002A57CC"/>
    <w:rsid w:val="002A6D06"/>
    <w:rsid w:val="002A76C6"/>
    <w:rsid w:val="002B0B48"/>
    <w:rsid w:val="002B1DF0"/>
    <w:rsid w:val="002B29D4"/>
    <w:rsid w:val="002B4052"/>
    <w:rsid w:val="002B4417"/>
    <w:rsid w:val="002C466C"/>
    <w:rsid w:val="002C6046"/>
    <w:rsid w:val="002D31CC"/>
    <w:rsid w:val="002D4326"/>
    <w:rsid w:val="002D4829"/>
    <w:rsid w:val="002D6BEF"/>
    <w:rsid w:val="002D72CF"/>
    <w:rsid w:val="002E181E"/>
    <w:rsid w:val="002E1AA4"/>
    <w:rsid w:val="002E2B16"/>
    <w:rsid w:val="002E521A"/>
    <w:rsid w:val="002E587D"/>
    <w:rsid w:val="002E7BD6"/>
    <w:rsid w:val="002F03B7"/>
    <w:rsid w:val="002F232B"/>
    <w:rsid w:val="002F3589"/>
    <w:rsid w:val="002F56FE"/>
    <w:rsid w:val="002F5772"/>
    <w:rsid w:val="00300D51"/>
    <w:rsid w:val="003018F6"/>
    <w:rsid w:val="0030249B"/>
    <w:rsid w:val="00303294"/>
    <w:rsid w:val="0030370F"/>
    <w:rsid w:val="00303DCB"/>
    <w:rsid w:val="003054E6"/>
    <w:rsid w:val="00306663"/>
    <w:rsid w:val="00307C47"/>
    <w:rsid w:val="003128F2"/>
    <w:rsid w:val="00312EAE"/>
    <w:rsid w:val="00313845"/>
    <w:rsid w:val="003145D2"/>
    <w:rsid w:val="0031466F"/>
    <w:rsid w:val="003152AA"/>
    <w:rsid w:val="00315D94"/>
    <w:rsid w:val="00316FB9"/>
    <w:rsid w:val="00317082"/>
    <w:rsid w:val="003173D7"/>
    <w:rsid w:val="00317ADC"/>
    <w:rsid w:val="00317B99"/>
    <w:rsid w:val="0032301C"/>
    <w:rsid w:val="00323FC6"/>
    <w:rsid w:val="00325C72"/>
    <w:rsid w:val="00325EB4"/>
    <w:rsid w:val="003268C9"/>
    <w:rsid w:val="00327637"/>
    <w:rsid w:val="003301B6"/>
    <w:rsid w:val="0033113B"/>
    <w:rsid w:val="00331A7A"/>
    <w:rsid w:val="00331F37"/>
    <w:rsid w:val="003323D3"/>
    <w:rsid w:val="003325AF"/>
    <w:rsid w:val="003329F3"/>
    <w:rsid w:val="00332E6F"/>
    <w:rsid w:val="0033509A"/>
    <w:rsid w:val="00336709"/>
    <w:rsid w:val="00337D30"/>
    <w:rsid w:val="00340F51"/>
    <w:rsid w:val="00341812"/>
    <w:rsid w:val="00346B03"/>
    <w:rsid w:val="0034778C"/>
    <w:rsid w:val="00347AD8"/>
    <w:rsid w:val="0035124A"/>
    <w:rsid w:val="00352963"/>
    <w:rsid w:val="00354F78"/>
    <w:rsid w:val="003550DA"/>
    <w:rsid w:val="003571F1"/>
    <w:rsid w:val="00357A9D"/>
    <w:rsid w:val="00361B04"/>
    <w:rsid w:val="0036375E"/>
    <w:rsid w:val="0036432B"/>
    <w:rsid w:val="003651E0"/>
    <w:rsid w:val="0036672F"/>
    <w:rsid w:val="003668B9"/>
    <w:rsid w:val="00367C90"/>
    <w:rsid w:val="0037085B"/>
    <w:rsid w:val="00371669"/>
    <w:rsid w:val="003730AA"/>
    <w:rsid w:val="00373998"/>
    <w:rsid w:val="00374984"/>
    <w:rsid w:val="00376A1E"/>
    <w:rsid w:val="00376D40"/>
    <w:rsid w:val="0038044A"/>
    <w:rsid w:val="003837D8"/>
    <w:rsid w:val="0038496E"/>
    <w:rsid w:val="00385263"/>
    <w:rsid w:val="0038703A"/>
    <w:rsid w:val="00387061"/>
    <w:rsid w:val="00391313"/>
    <w:rsid w:val="003922D6"/>
    <w:rsid w:val="00392B22"/>
    <w:rsid w:val="00393411"/>
    <w:rsid w:val="003937A3"/>
    <w:rsid w:val="00393D20"/>
    <w:rsid w:val="00394389"/>
    <w:rsid w:val="0039482E"/>
    <w:rsid w:val="00395042"/>
    <w:rsid w:val="003A1D3A"/>
    <w:rsid w:val="003A1D6A"/>
    <w:rsid w:val="003A2869"/>
    <w:rsid w:val="003A5453"/>
    <w:rsid w:val="003B1E60"/>
    <w:rsid w:val="003B5030"/>
    <w:rsid w:val="003B599B"/>
    <w:rsid w:val="003B6201"/>
    <w:rsid w:val="003B78B1"/>
    <w:rsid w:val="003C0FFA"/>
    <w:rsid w:val="003C1281"/>
    <w:rsid w:val="003C1FF6"/>
    <w:rsid w:val="003C3B45"/>
    <w:rsid w:val="003C5783"/>
    <w:rsid w:val="003D01BD"/>
    <w:rsid w:val="003D247E"/>
    <w:rsid w:val="003D65C8"/>
    <w:rsid w:val="003E0798"/>
    <w:rsid w:val="003E0963"/>
    <w:rsid w:val="003E2CBB"/>
    <w:rsid w:val="003E649E"/>
    <w:rsid w:val="003F0970"/>
    <w:rsid w:val="003F19F0"/>
    <w:rsid w:val="003F3D15"/>
    <w:rsid w:val="003F42D2"/>
    <w:rsid w:val="003F5055"/>
    <w:rsid w:val="003F517A"/>
    <w:rsid w:val="003F5DAF"/>
    <w:rsid w:val="003F63F2"/>
    <w:rsid w:val="0040131B"/>
    <w:rsid w:val="00403344"/>
    <w:rsid w:val="00403C65"/>
    <w:rsid w:val="004042CD"/>
    <w:rsid w:val="00406035"/>
    <w:rsid w:val="004118FB"/>
    <w:rsid w:val="00411FBE"/>
    <w:rsid w:val="00412CD4"/>
    <w:rsid w:val="00413C2C"/>
    <w:rsid w:val="00413D33"/>
    <w:rsid w:val="0041433D"/>
    <w:rsid w:val="00414FBF"/>
    <w:rsid w:val="00415F88"/>
    <w:rsid w:val="0041655C"/>
    <w:rsid w:val="00417509"/>
    <w:rsid w:val="004211A1"/>
    <w:rsid w:val="0042136D"/>
    <w:rsid w:val="004222B3"/>
    <w:rsid w:val="004225EE"/>
    <w:rsid w:val="00422E35"/>
    <w:rsid w:val="00425968"/>
    <w:rsid w:val="004272FC"/>
    <w:rsid w:val="00427BEA"/>
    <w:rsid w:val="00427E34"/>
    <w:rsid w:val="004312DF"/>
    <w:rsid w:val="00432275"/>
    <w:rsid w:val="004331BE"/>
    <w:rsid w:val="004345EC"/>
    <w:rsid w:val="004346EC"/>
    <w:rsid w:val="00434947"/>
    <w:rsid w:val="00435A42"/>
    <w:rsid w:val="00436D54"/>
    <w:rsid w:val="00437873"/>
    <w:rsid w:val="00440C5C"/>
    <w:rsid w:val="00441830"/>
    <w:rsid w:val="00441882"/>
    <w:rsid w:val="004419FC"/>
    <w:rsid w:val="00442E34"/>
    <w:rsid w:val="00445B7E"/>
    <w:rsid w:val="00445D36"/>
    <w:rsid w:val="00446E3A"/>
    <w:rsid w:val="00450690"/>
    <w:rsid w:val="00451C55"/>
    <w:rsid w:val="00452049"/>
    <w:rsid w:val="00453CC1"/>
    <w:rsid w:val="004546B7"/>
    <w:rsid w:val="00454968"/>
    <w:rsid w:val="00456FF2"/>
    <w:rsid w:val="00457BC1"/>
    <w:rsid w:val="004615C2"/>
    <w:rsid w:val="00461996"/>
    <w:rsid w:val="0046739F"/>
    <w:rsid w:val="004700AD"/>
    <w:rsid w:val="00471F22"/>
    <w:rsid w:val="0047233E"/>
    <w:rsid w:val="004725FD"/>
    <w:rsid w:val="00472D5F"/>
    <w:rsid w:val="00472DC8"/>
    <w:rsid w:val="00474468"/>
    <w:rsid w:val="00475F00"/>
    <w:rsid w:val="00477A71"/>
    <w:rsid w:val="00480484"/>
    <w:rsid w:val="0048151F"/>
    <w:rsid w:val="00483097"/>
    <w:rsid w:val="00483541"/>
    <w:rsid w:val="00484C0D"/>
    <w:rsid w:val="00485C2A"/>
    <w:rsid w:val="00486BE8"/>
    <w:rsid w:val="004872FF"/>
    <w:rsid w:val="00490666"/>
    <w:rsid w:val="004906B9"/>
    <w:rsid w:val="00491540"/>
    <w:rsid w:val="004917D9"/>
    <w:rsid w:val="00496EB9"/>
    <w:rsid w:val="00497108"/>
    <w:rsid w:val="004A06B9"/>
    <w:rsid w:val="004A137C"/>
    <w:rsid w:val="004A196F"/>
    <w:rsid w:val="004A3C6C"/>
    <w:rsid w:val="004A7285"/>
    <w:rsid w:val="004A7B52"/>
    <w:rsid w:val="004B1A25"/>
    <w:rsid w:val="004B20C9"/>
    <w:rsid w:val="004B46B8"/>
    <w:rsid w:val="004B623D"/>
    <w:rsid w:val="004C1945"/>
    <w:rsid w:val="004C29D5"/>
    <w:rsid w:val="004C4062"/>
    <w:rsid w:val="004C51EB"/>
    <w:rsid w:val="004C5212"/>
    <w:rsid w:val="004C6B33"/>
    <w:rsid w:val="004D0F58"/>
    <w:rsid w:val="004D6A65"/>
    <w:rsid w:val="004E1219"/>
    <w:rsid w:val="004E216F"/>
    <w:rsid w:val="004E22F9"/>
    <w:rsid w:val="004E2858"/>
    <w:rsid w:val="004E2D75"/>
    <w:rsid w:val="004E34F4"/>
    <w:rsid w:val="004E3DF6"/>
    <w:rsid w:val="004E6C88"/>
    <w:rsid w:val="004F0202"/>
    <w:rsid w:val="004F3A02"/>
    <w:rsid w:val="004F6D1F"/>
    <w:rsid w:val="004F7EDC"/>
    <w:rsid w:val="005007AB"/>
    <w:rsid w:val="00500AB2"/>
    <w:rsid w:val="0050122F"/>
    <w:rsid w:val="00501951"/>
    <w:rsid w:val="00501A0D"/>
    <w:rsid w:val="00502DDA"/>
    <w:rsid w:val="00505D59"/>
    <w:rsid w:val="00512278"/>
    <w:rsid w:val="005141CB"/>
    <w:rsid w:val="005146D4"/>
    <w:rsid w:val="0051596E"/>
    <w:rsid w:val="005201FA"/>
    <w:rsid w:val="00521317"/>
    <w:rsid w:val="00521E29"/>
    <w:rsid w:val="0052228A"/>
    <w:rsid w:val="005236B4"/>
    <w:rsid w:val="00527BD3"/>
    <w:rsid w:val="0053302A"/>
    <w:rsid w:val="005342B8"/>
    <w:rsid w:val="005414EF"/>
    <w:rsid w:val="005448BB"/>
    <w:rsid w:val="00545D07"/>
    <w:rsid w:val="005472A3"/>
    <w:rsid w:val="00547364"/>
    <w:rsid w:val="00550A6D"/>
    <w:rsid w:val="005512A4"/>
    <w:rsid w:val="00552663"/>
    <w:rsid w:val="00553FF5"/>
    <w:rsid w:val="0055404E"/>
    <w:rsid w:val="0055472A"/>
    <w:rsid w:val="00557EEC"/>
    <w:rsid w:val="005608CF"/>
    <w:rsid w:val="00561F86"/>
    <w:rsid w:val="005628B8"/>
    <w:rsid w:val="00562E6B"/>
    <w:rsid w:val="0056403F"/>
    <w:rsid w:val="0056408D"/>
    <w:rsid w:val="00566AE8"/>
    <w:rsid w:val="00567573"/>
    <w:rsid w:val="00570C3C"/>
    <w:rsid w:val="005740CA"/>
    <w:rsid w:val="00575308"/>
    <w:rsid w:val="00577202"/>
    <w:rsid w:val="0058064B"/>
    <w:rsid w:val="0058330C"/>
    <w:rsid w:val="005834E9"/>
    <w:rsid w:val="00584D58"/>
    <w:rsid w:val="00586407"/>
    <w:rsid w:val="0058782D"/>
    <w:rsid w:val="00592A81"/>
    <w:rsid w:val="00593F6B"/>
    <w:rsid w:val="005947F3"/>
    <w:rsid w:val="00595405"/>
    <w:rsid w:val="0059671F"/>
    <w:rsid w:val="005A5452"/>
    <w:rsid w:val="005A7787"/>
    <w:rsid w:val="005B25E4"/>
    <w:rsid w:val="005B2D10"/>
    <w:rsid w:val="005C29C0"/>
    <w:rsid w:val="005C4C20"/>
    <w:rsid w:val="005C55B6"/>
    <w:rsid w:val="005C5A3B"/>
    <w:rsid w:val="005C6C5C"/>
    <w:rsid w:val="005D03CE"/>
    <w:rsid w:val="005D0EDC"/>
    <w:rsid w:val="005D33D5"/>
    <w:rsid w:val="005D3F07"/>
    <w:rsid w:val="005D5364"/>
    <w:rsid w:val="005D54C4"/>
    <w:rsid w:val="005D5BF6"/>
    <w:rsid w:val="005D74A1"/>
    <w:rsid w:val="005D78FD"/>
    <w:rsid w:val="005E20FE"/>
    <w:rsid w:val="005E2F20"/>
    <w:rsid w:val="005E3344"/>
    <w:rsid w:val="005E3636"/>
    <w:rsid w:val="005E3B5C"/>
    <w:rsid w:val="005E4D88"/>
    <w:rsid w:val="005F1072"/>
    <w:rsid w:val="005F717E"/>
    <w:rsid w:val="0060262D"/>
    <w:rsid w:val="006026FC"/>
    <w:rsid w:val="006043BE"/>
    <w:rsid w:val="00605AD4"/>
    <w:rsid w:val="006078C5"/>
    <w:rsid w:val="006108D5"/>
    <w:rsid w:val="006131C2"/>
    <w:rsid w:val="006142C8"/>
    <w:rsid w:val="00614BF7"/>
    <w:rsid w:val="00615B13"/>
    <w:rsid w:val="00616EB2"/>
    <w:rsid w:val="00620FF9"/>
    <w:rsid w:val="00621104"/>
    <w:rsid w:val="00622A1A"/>
    <w:rsid w:val="00624B3C"/>
    <w:rsid w:val="00627FB2"/>
    <w:rsid w:val="00630A76"/>
    <w:rsid w:val="00630EF5"/>
    <w:rsid w:val="00632762"/>
    <w:rsid w:val="00632C07"/>
    <w:rsid w:val="00641300"/>
    <w:rsid w:val="00642213"/>
    <w:rsid w:val="0064265D"/>
    <w:rsid w:val="0064450C"/>
    <w:rsid w:val="00644BC0"/>
    <w:rsid w:val="00644FBC"/>
    <w:rsid w:val="006459B5"/>
    <w:rsid w:val="00645B80"/>
    <w:rsid w:val="00645CE1"/>
    <w:rsid w:val="00646805"/>
    <w:rsid w:val="00646DD1"/>
    <w:rsid w:val="00650773"/>
    <w:rsid w:val="006513F1"/>
    <w:rsid w:val="0065583D"/>
    <w:rsid w:val="00655A37"/>
    <w:rsid w:val="00656186"/>
    <w:rsid w:val="00661938"/>
    <w:rsid w:val="00661AB1"/>
    <w:rsid w:val="00662E6B"/>
    <w:rsid w:val="00664031"/>
    <w:rsid w:val="00664965"/>
    <w:rsid w:val="006663C5"/>
    <w:rsid w:val="00666829"/>
    <w:rsid w:val="00667093"/>
    <w:rsid w:val="00670928"/>
    <w:rsid w:val="00670B32"/>
    <w:rsid w:val="00675CEA"/>
    <w:rsid w:val="00677FA7"/>
    <w:rsid w:val="00683BD7"/>
    <w:rsid w:val="006919F4"/>
    <w:rsid w:val="006944FF"/>
    <w:rsid w:val="00695C6D"/>
    <w:rsid w:val="00696131"/>
    <w:rsid w:val="00697862"/>
    <w:rsid w:val="006A4A91"/>
    <w:rsid w:val="006B095B"/>
    <w:rsid w:val="006B35D6"/>
    <w:rsid w:val="006B38B5"/>
    <w:rsid w:val="006B4D65"/>
    <w:rsid w:val="006B7FCE"/>
    <w:rsid w:val="006C2B9B"/>
    <w:rsid w:val="006C2CFE"/>
    <w:rsid w:val="006C47DA"/>
    <w:rsid w:val="006C5195"/>
    <w:rsid w:val="006C6FDB"/>
    <w:rsid w:val="006C76DD"/>
    <w:rsid w:val="006C7AFB"/>
    <w:rsid w:val="006D175C"/>
    <w:rsid w:val="006D2A8F"/>
    <w:rsid w:val="006D2C1C"/>
    <w:rsid w:val="006D3038"/>
    <w:rsid w:val="006D40F8"/>
    <w:rsid w:val="006D55AE"/>
    <w:rsid w:val="006D577E"/>
    <w:rsid w:val="006D6C2D"/>
    <w:rsid w:val="006E00A2"/>
    <w:rsid w:val="006E03F3"/>
    <w:rsid w:val="006E1305"/>
    <w:rsid w:val="006E451C"/>
    <w:rsid w:val="006E590E"/>
    <w:rsid w:val="006E7409"/>
    <w:rsid w:val="006E7BCA"/>
    <w:rsid w:val="006F0954"/>
    <w:rsid w:val="006F3398"/>
    <w:rsid w:val="006F3595"/>
    <w:rsid w:val="0070525E"/>
    <w:rsid w:val="0070713B"/>
    <w:rsid w:val="007076F3"/>
    <w:rsid w:val="00713334"/>
    <w:rsid w:val="00714981"/>
    <w:rsid w:val="00715905"/>
    <w:rsid w:val="007160E8"/>
    <w:rsid w:val="00722420"/>
    <w:rsid w:val="007261EF"/>
    <w:rsid w:val="0073274B"/>
    <w:rsid w:val="00732929"/>
    <w:rsid w:val="00732F02"/>
    <w:rsid w:val="00732F0F"/>
    <w:rsid w:val="00733170"/>
    <w:rsid w:val="0073381E"/>
    <w:rsid w:val="00737609"/>
    <w:rsid w:val="00737E20"/>
    <w:rsid w:val="00741440"/>
    <w:rsid w:val="007419FE"/>
    <w:rsid w:val="007434AE"/>
    <w:rsid w:val="0074688C"/>
    <w:rsid w:val="00747E96"/>
    <w:rsid w:val="00750A84"/>
    <w:rsid w:val="00750B47"/>
    <w:rsid w:val="00750F55"/>
    <w:rsid w:val="00751BC4"/>
    <w:rsid w:val="0075416B"/>
    <w:rsid w:val="0075478B"/>
    <w:rsid w:val="00760F67"/>
    <w:rsid w:val="00761A38"/>
    <w:rsid w:val="00761CF5"/>
    <w:rsid w:val="0076257D"/>
    <w:rsid w:val="00762B9F"/>
    <w:rsid w:val="00763A48"/>
    <w:rsid w:val="00770156"/>
    <w:rsid w:val="007729C7"/>
    <w:rsid w:val="007729CF"/>
    <w:rsid w:val="0077329C"/>
    <w:rsid w:val="007752B0"/>
    <w:rsid w:val="00776444"/>
    <w:rsid w:val="00780509"/>
    <w:rsid w:val="00781305"/>
    <w:rsid w:val="00781EDE"/>
    <w:rsid w:val="00783B52"/>
    <w:rsid w:val="00785D97"/>
    <w:rsid w:val="007865EA"/>
    <w:rsid w:val="0078786E"/>
    <w:rsid w:val="00792B86"/>
    <w:rsid w:val="00793C42"/>
    <w:rsid w:val="007948AC"/>
    <w:rsid w:val="007971D6"/>
    <w:rsid w:val="007A0227"/>
    <w:rsid w:val="007A389D"/>
    <w:rsid w:val="007A456C"/>
    <w:rsid w:val="007A6B6F"/>
    <w:rsid w:val="007A737B"/>
    <w:rsid w:val="007A73FB"/>
    <w:rsid w:val="007A74D4"/>
    <w:rsid w:val="007B4560"/>
    <w:rsid w:val="007B47D7"/>
    <w:rsid w:val="007B4E42"/>
    <w:rsid w:val="007B5773"/>
    <w:rsid w:val="007B6E84"/>
    <w:rsid w:val="007B7AF4"/>
    <w:rsid w:val="007C0EC3"/>
    <w:rsid w:val="007C2165"/>
    <w:rsid w:val="007C2B22"/>
    <w:rsid w:val="007C6E13"/>
    <w:rsid w:val="007C7989"/>
    <w:rsid w:val="007D245F"/>
    <w:rsid w:val="007D3F03"/>
    <w:rsid w:val="007D5FB1"/>
    <w:rsid w:val="007D6336"/>
    <w:rsid w:val="007D6C2B"/>
    <w:rsid w:val="007E29F7"/>
    <w:rsid w:val="007E395F"/>
    <w:rsid w:val="007E5346"/>
    <w:rsid w:val="007F46E2"/>
    <w:rsid w:val="007F5C00"/>
    <w:rsid w:val="007F78DC"/>
    <w:rsid w:val="00800C3C"/>
    <w:rsid w:val="00802A28"/>
    <w:rsid w:val="00804C39"/>
    <w:rsid w:val="00805885"/>
    <w:rsid w:val="00805D84"/>
    <w:rsid w:val="00805F72"/>
    <w:rsid w:val="00806163"/>
    <w:rsid w:val="00806DFE"/>
    <w:rsid w:val="0080707F"/>
    <w:rsid w:val="008076FE"/>
    <w:rsid w:val="008106A9"/>
    <w:rsid w:val="00811D8D"/>
    <w:rsid w:val="00812712"/>
    <w:rsid w:val="00814D0E"/>
    <w:rsid w:val="00814FBD"/>
    <w:rsid w:val="008153D9"/>
    <w:rsid w:val="008157B4"/>
    <w:rsid w:val="008177E6"/>
    <w:rsid w:val="00817A7F"/>
    <w:rsid w:val="00817CC5"/>
    <w:rsid w:val="00817E47"/>
    <w:rsid w:val="008200A9"/>
    <w:rsid w:val="008214EF"/>
    <w:rsid w:val="00821D4A"/>
    <w:rsid w:val="0082325E"/>
    <w:rsid w:val="00823FFA"/>
    <w:rsid w:val="008261EB"/>
    <w:rsid w:val="00826588"/>
    <w:rsid w:val="0083051C"/>
    <w:rsid w:val="00832ADC"/>
    <w:rsid w:val="00834C1C"/>
    <w:rsid w:val="0083556D"/>
    <w:rsid w:val="00836D18"/>
    <w:rsid w:val="00841678"/>
    <w:rsid w:val="00847358"/>
    <w:rsid w:val="008530C4"/>
    <w:rsid w:val="00854CD1"/>
    <w:rsid w:val="00855344"/>
    <w:rsid w:val="008559F2"/>
    <w:rsid w:val="00855A21"/>
    <w:rsid w:val="00856707"/>
    <w:rsid w:val="00856A2D"/>
    <w:rsid w:val="0085767B"/>
    <w:rsid w:val="008577FA"/>
    <w:rsid w:val="00860466"/>
    <w:rsid w:val="00862CD1"/>
    <w:rsid w:val="00862D6D"/>
    <w:rsid w:val="00863827"/>
    <w:rsid w:val="008659DF"/>
    <w:rsid w:val="00866A43"/>
    <w:rsid w:val="00867B59"/>
    <w:rsid w:val="008724BF"/>
    <w:rsid w:val="00873E83"/>
    <w:rsid w:val="00876657"/>
    <w:rsid w:val="00876A5E"/>
    <w:rsid w:val="00877908"/>
    <w:rsid w:val="00885EDF"/>
    <w:rsid w:val="00887C32"/>
    <w:rsid w:val="008904BC"/>
    <w:rsid w:val="008942C1"/>
    <w:rsid w:val="00896249"/>
    <w:rsid w:val="008977B1"/>
    <w:rsid w:val="008A0773"/>
    <w:rsid w:val="008A0FA3"/>
    <w:rsid w:val="008A1CFE"/>
    <w:rsid w:val="008A2E19"/>
    <w:rsid w:val="008A4280"/>
    <w:rsid w:val="008A432D"/>
    <w:rsid w:val="008A5C4B"/>
    <w:rsid w:val="008A5E95"/>
    <w:rsid w:val="008A6DEF"/>
    <w:rsid w:val="008A7080"/>
    <w:rsid w:val="008A7FE1"/>
    <w:rsid w:val="008B08CE"/>
    <w:rsid w:val="008B1105"/>
    <w:rsid w:val="008B1177"/>
    <w:rsid w:val="008B186B"/>
    <w:rsid w:val="008B3720"/>
    <w:rsid w:val="008B5AF4"/>
    <w:rsid w:val="008B5E3A"/>
    <w:rsid w:val="008B6739"/>
    <w:rsid w:val="008B79E4"/>
    <w:rsid w:val="008C48F2"/>
    <w:rsid w:val="008C52B4"/>
    <w:rsid w:val="008C55BE"/>
    <w:rsid w:val="008C65DB"/>
    <w:rsid w:val="008D2457"/>
    <w:rsid w:val="008D45CA"/>
    <w:rsid w:val="008D55E9"/>
    <w:rsid w:val="008D6318"/>
    <w:rsid w:val="008D78B8"/>
    <w:rsid w:val="008D7E82"/>
    <w:rsid w:val="008E035A"/>
    <w:rsid w:val="008E0EB4"/>
    <w:rsid w:val="008E0F4A"/>
    <w:rsid w:val="008E26D9"/>
    <w:rsid w:val="008E303F"/>
    <w:rsid w:val="008E3688"/>
    <w:rsid w:val="008E368D"/>
    <w:rsid w:val="008E44EF"/>
    <w:rsid w:val="008E45BC"/>
    <w:rsid w:val="008E6516"/>
    <w:rsid w:val="008F1E36"/>
    <w:rsid w:val="008F1F47"/>
    <w:rsid w:val="008F2728"/>
    <w:rsid w:val="008F530F"/>
    <w:rsid w:val="008F5D85"/>
    <w:rsid w:val="008F767F"/>
    <w:rsid w:val="0090057C"/>
    <w:rsid w:val="0090110C"/>
    <w:rsid w:val="00901686"/>
    <w:rsid w:val="0090373E"/>
    <w:rsid w:val="00906E49"/>
    <w:rsid w:val="00911CD7"/>
    <w:rsid w:val="00912582"/>
    <w:rsid w:val="00913AFE"/>
    <w:rsid w:val="00914CAE"/>
    <w:rsid w:val="00914DC7"/>
    <w:rsid w:val="00915AC4"/>
    <w:rsid w:val="0091797C"/>
    <w:rsid w:val="00921ADC"/>
    <w:rsid w:val="00922368"/>
    <w:rsid w:val="00922AE6"/>
    <w:rsid w:val="00923C30"/>
    <w:rsid w:val="00924716"/>
    <w:rsid w:val="009264EB"/>
    <w:rsid w:val="009272FC"/>
    <w:rsid w:val="00931909"/>
    <w:rsid w:val="0093626F"/>
    <w:rsid w:val="00936E40"/>
    <w:rsid w:val="00940B82"/>
    <w:rsid w:val="00942BD6"/>
    <w:rsid w:val="0094350D"/>
    <w:rsid w:val="00943674"/>
    <w:rsid w:val="00944E49"/>
    <w:rsid w:val="00945EC9"/>
    <w:rsid w:val="009474FF"/>
    <w:rsid w:val="00947684"/>
    <w:rsid w:val="009516A9"/>
    <w:rsid w:val="0095226A"/>
    <w:rsid w:val="00953E1B"/>
    <w:rsid w:val="00956B73"/>
    <w:rsid w:val="009613E7"/>
    <w:rsid w:val="00965E5F"/>
    <w:rsid w:val="0096726E"/>
    <w:rsid w:val="00967867"/>
    <w:rsid w:val="0097256F"/>
    <w:rsid w:val="0097560B"/>
    <w:rsid w:val="0098068D"/>
    <w:rsid w:val="00981A0B"/>
    <w:rsid w:val="009830EC"/>
    <w:rsid w:val="00985613"/>
    <w:rsid w:val="009877A1"/>
    <w:rsid w:val="00987BBD"/>
    <w:rsid w:val="00987DF3"/>
    <w:rsid w:val="00987F1C"/>
    <w:rsid w:val="00990E38"/>
    <w:rsid w:val="009921D8"/>
    <w:rsid w:val="009957B1"/>
    <w:rsid w:val="00995B5F"/>
    <w:rsid w:val="009A18AA"/>
    <w:rsid w:val="009A1D93"/>
    <w:rsid w:val="009A23B6"/>
    <w:rsid w:val="009A3DCB"/>
    <w:rsid w:val="009B230C"/>
    <w:rsid w:val="009B403A"/>
    <w:rsid w:val="009B5600"/>
    <w:rsid w:val="009B5716"/>
    <w:rsid w:val="009B6311"/>
    <w:rsid w:val="009B6BAE"/>
    <w:rsid w:val="009B6BD1"/>
    <w:rsid w:val="009C128D"/>
    <w:rsid w:val="009C197E"/>
    <w:rsid w:val="009C19B7"/>
    <w:rsid w:val="009C310D"/>
    <w:rsid w:val="009C5097"/>
    <w:rsid w:val="009C526F"/>
    <w:rsid w:val="009C686F"/>
    <w:rsid w:val="009C7043"/>
    <w:rsid w:val="009D04E4"/>
    <w:rsid w:val="009D120B"/>
    <w:rsid w:val="009D1CA7"/>
    <w:rsid w:val="009D222E"/>
    <w:rsid w:val="009D35F7"/>
    <w:rsid w:val="009E0BF1"/>
    <w:rsid w:val="009F4056"/>
    <w:rsid w:val="009F4E32"/>
    <w:rsid w:val="00A04848"/>
    <w:rsid w:val="00A07660"/>
    <w:rsid w:val="00A076E6"/>
    <w:rsid w:val="00A07DCE"/>
    <w:rsid w:val="00A135F7"/>
    <w:rsid w:val="00A136CB"/>
    <w:rsid w:val="00A162DB"/>
    <w:rsid w:val="00A16F1E"/>
    <w:rsid w:val="00A17950"/>
    <w:rsid w:val="00A179D7"/>
    <w:rsid w:val="00A2255E"/>
    <w:rsid w:val="00A24604"/>
    <w:rsid w:val="00A24EAA"/>
    <w:rsid w:val="00A2577F"/>
    <w:rsid w:val="00A343EF"/>
    <w:rsid w:val="00A34654"/>
    <w:rsid w:val="00A35BCC"/>
    <w:rsid w:val="00A3741A"/>
    <w:rsid w:val="00A410CB"/>
    <w:rsid w:val="00A44320"/>
    <w:rsid w:val="00A44AEC"/>
    <w:rsid w:val="00A457BC"/>
    <w:rsid w:val="00A45CE0"/>
    <w:rsid w:val="00A4680A"/>
    <w:rsid w:val="00A46DD9"/>
    <w:rsid w:val="00A47494"/>
    <w:rsid w:val="00A474E0"/>
    <w:rsid w:val="00A55750"/>
    <w:rsid w:val="00A55B3E"/>
    <w:rsid w:val="00A56BEB"/>
    <w:rsid w:val="00A56EE1"/>
    <w:rsid w:val="00A574D2"/>
    <w:rsid w:val="00A61236"/>
    <w:rsid w:val="00A612FC"/>
    <w:rsid w:val="00A627C5"/>
    <w:rsid w:val="00A6328E"/>
    <w:rsid w:val="00A64BD2"/>
    <w:rsid w:val="00A65B1D"/>
    <w:rsid w:val="00A679DA"/>
    <w:rsid w:val="00A70AFD"/>
    <w:rsid w:val="00A7330F"/>
    <w:rsid w:val="00A742B8"/>
    <w:rsid w:val="00A75231"/>
    <w:rsid w:val="00A753DD"/>
    <w:rsid w:val="00A757EE"/>
    <w:rsid w:val="00A85E80"/>
    <w:rsid w:val="00A90164"/>
    <w:rsid w:val="00A90735"/>
    <w:rsid w:val="00A91B9B"/>
    <w:rsid w:val="00A91E15"/>
    <w:rsid w:val="00A943D8"/>
    <w:rsid w:val="00AA122E"/>
    <w:rsid w:val="00AA243E"/>
    <w:rsid w:val="00AA2731"/>
    <w:rsid w:val="00AA40D4"/>
    <w:rsid w:val="00AA5350"/>
    <w:rsid w:val="00AA56B7"/>
    <w:rsid w:val="00AA6644"/>
    <w:rsid w:val="00AB0BCE"/>
    <w:rsid w:val="00AB0D7E"/>
    <w:rsid w:val="00AB1444"/>
    <w:rsid w:val="00AB1B8A"/>
    <w:rsid w:val="00AB213D"/>
    <w:rsid w:val="00AB7CE9"/>
    <w:rsid w:val="00AB7FE9"/>
    <w:rsid w:val="00AC30F7"/>
    <w:rsid w:val="00AC517C"/>
    <w:rsid w:val="00AC5C24"/>
    <w:rsid w:val="00AD060A"/>
    <w:rsid w:val="00AD0D0F"/>
    <w:rsid w:val="00AD114E"/>
    <w:rsid w:val="00AD2525"/>
    <w:rsid w:val="00AD2867"/>
    <w:rsid w:val="00AD2BD1"/>
    <w:rsid w:val="00AD562B"/>
    <w:rsid w:val="00AD6F2D"/>
    <w:rsid w:val="00AD6F7B"/>
    <w:rsid w:val="00AD74B8"/>
    <w:rsid w:val="00AE10E4"/>
    <w:rsid w:val="00AE1857"/>
    <w:rsid w:val="00AE276C"/>
    <w:rsid w:val="00AE35D1"/>
    <w:rsid w:val="00AE3A34"/>
    <w:rsid w:val="00AE7B6B"/>
    <w:rsid w:val="00AE7E68"/>
    <w:rsid w:val="00AF2EBD"/>
    <w:rsid w:val="00AF3346"/>
    <w:rsid w:val="00AF3606"/>
    <w:rsid w:val="00AF540A"/>
    <w:rsid w:val="00AF5E1B"/>
    <w:rsid w:val="00AF66DF"/>
    <w:rsid w:val="00B05436"/>
    <w:rsid w:val="00B0724B"/>
    <w:rsid w:val="00B12C6F"/>
    <w:rsid w:val="00B136A5"/>
    <w:rsid w:val="00B155FD"/>
    <w:rsid w:val="00B15A3A"/>
    <w:rsid w:val="00B15B40"/>
    <w:rsid w:val="00B15D6E"/>
    <w:rsid w:val="00B16B16"/>
    <w:rsid w:val="00B17ED7"/>
    <w:rsid w:val="00B23B29"/>
    <w:rsid w:val="00B258D8"/>
    <w:rsid w:val="00B26CCA"/>
    <w:rsid w:val="00B3080C"/>
    <w:rsid w:val="00B3282B"/>
    <w:rsid w:val="00B334C4"/>
    <w:rsid w:val="00B3521B"/>
    <w:rsid w:val="00B35286"/>
    <w:rsid w:val="00B379EB"/>
    <w:rsid w:val="00B40B19"/>
    <w:rsid w:val="00B42986"/>
    <w:rsid w:val="00B42EEB"/>
    <w:rsid w:val="00B43332"/>
    <w:rsid w:val="00B44D17"/>
    <w:rsid w:val="00B513A6"/>
    <w:rsid w:val="00B514BC"/>
    <w:rsid w:val="00B51D0B"/>
    <w:rsid w:val="00B52B1D"/>
    <w:rsid w:val="00B55D27"/>
    <w:rsid w:val="00B601CB"/>
    <w:rsid w:val="00B60C51"/>
    <w:rsid w:val="00B61252"/>
    <w:rsid w:val="00B65047"/>
    <w:rsid w:val="00B6710C"/>
    <w:rsid w:val="00B67671"/>
    <w:rsid w:val="00B676AB"/>
    <w:rsid w:val="00B67797"/>
    <w:rsid w:val="00B71755"/>
    <w:rsid w:val="00B719C2"/>
    <w:rsid w:val="00B7334B"/>
    <w:rsid w:val="00B760CA"/>
    <w:rsid w:val="00B80294"/>
    <w:rsid w:val="00B82E81"/>
    <w:rsid w:val="00B83758"/>
    <w:rsid w:val="00B85CEB"/>
    <w:rsid w:val="00B87563"/>
    <w:rsid w:val="00B87937"/>
    <w:rsid w:val="00B9509E"/>
    <w:rsid w:val="00B9594E"/>
    <w:rsid w:val="00BA2575"/>
    <w:rsid w:val="00BA3480"/>
    <w:rsid w:val="00BA3E8B"/>
    <w:rsid w:val="00BA5854"/>
    <w:rsid w:val="00BA6332"/>
    <w:rsid w:val="00BA7FE4"/>
    <w:rsid w:val="00BB07AD"/>
    <w:rsid w:val="00BB16BF"/>
    <w:rsid w:val="00BB2B6A"/>
    <w:rsid w:val="00BB2D2C"/>
    <w:rsid w:val="00BB320B"/>
    <w:rsid w:val="00BB436C"/>
    <w:rsid w:val="00BB47D4"/>
    <w:rsid w:val="00BB627C"/>
    <w:rsid w:val="00BB6807"/>
    <w:rsid w:val="00BB6A45"/>
    <w:rsid w:val="00BB7905"/>
    <w:rsid w:val="00BC3EB5"/>
    <w:rsid w:val="00BC69A8"/>
    <w:rsid w:val="00BD3DCA"/>
    <w:rsid w:val="00BD5311"/>
    <w:rsid w:val="00BD62AD"/>
    <w:rsid w:val="00BD6C42"/>
    <w:rsid w:val="00BE34EB"/>
    <w:rsid w:val="00BE420B"/>
    <w:rsid w:val="00BE4CA3"/>
    <w:rsid w:val="00BE5215"/>
    <w:rsid w:val="00BF06A8"/>
    <w:rsid w:val="00BF5108"/>
    <w:rsid w:val="00BF5ABE"/>
    <w:rsid w:val="00C004C5"/>
    <w:rsid w:val="00C00FA6"/>
    <w:rsid w:val="00C046CD"/>
    <w:rsid w:val="00C05038"/>
    <w:rsid w:val="00C05A6A"/>
    <w:rsid w:val="00C05D9F"/>
    <w:rsid w:val="00C06A0A"/>
    <w:rsid w:val="00C06AD0"/>
    <w:rsid w:val="00C15529"/>
    <w:rsid w:val="00C17E88"/>
    <w:rsid w:val="00C21181"/>
    <w:rsid w:val="00C229D5"/>
    <w:rsid w:val="00C2427D"/>
    <w:rsid w:val="00C2476D"/>
    <w:rsid w:val="00C30F7D"/>
    <w:rsid w:val="00C35406"/>
    <w:rsid w:val="00C36C52"/>
    <w:rsid w:val="00C3783F"/>
    <w:rsid w:val="00C378A5"/>
    <w:rsid w:val="00C40895"/>
    <w:rsid w:val="00C450BB"/>
    <w:rsid w:val="00C462EE"/>
    <w:rsid w:val="00C465E2"/>
    <w:rsid w:val="00C46F85"/>
    <w:rsid w:val="00C47F89"/>
    <w:rsid w:val="00C5058B"/>
    <w:rsid w:val="00C52C6D"/>
    <w:rsid w:val="00C54BE6"/>
    <w:rsid w:val="00C5519E"/>
    <w:rsid w:val="00C578EA"/>
    <w:rsid w:val="00C60007"/>
    <w:rsid w:val="00C619DD"/>
    <w:rsid w:val="00C62EBC"/>
    <w:rsid w:val="00C64CF6"/>
    <w:rsid w:val="00C64D28"/>
    <w:rsid w:val="00C64DBE"/>
    <w:rsid w:val="00C658A8"/>
    <w:rsid w:val="00C67A1B"/>
    <w:rsid w:val="00C70973"/>
    <w:rsid w:val="00C74A22"/>
    <w:rsid w:val="00C76C5C"/>
    <w:rsid w:val="00C7767E"/>
    <w:rsid w:val="00C804B7"/>
    <w:rsid w:val="00C81EA8"/>
    <w:rsid w:val="00C82C3C"/>
    <w:rsid w:val="00C82D9B"/>
    <w:rsid w:val="00C853A0"/>
    <w:rsid w:val="00C87E14"/>
    <w:rsid w:val="00C90437"/>
    <w:rsid w:val="00C916CC"/>
    <w:rsid w:val="00C91FEC"/>
    <w:rsid w:val="00C91FFA"/>
    <w:rsid w:val="00C97650"/>
    <w:rsid w:val="00CA1F5E"/>
    <w:rsid w:val="00CA30C7"/>
    <w:rsid w:val="00CA40A4"/>
    <w:rsid w:val="00CA4C09"/>
    <w:rsid w:val="00CA61D3"/>
    <w:rsid w:val="00CB074F"/>
    <w:rsid w:val="00CB07F5"/>
    <w:rsid w:val="00CB29FA"/>
    <w:rsid w:val="00CB3D41"/>
    <w:rsid w:val="00CB4C78"/>
    <w:rsid w:val="00CB64F4"/>
    <w:rsid w:val="00CB68C9"/>
    <w:rsid w:val="00CC0FAC"/>
    <w:rsid w:val="00CC1374"/>
    <w:rsid w:val="00CC2CB7"/>
    <w:rsid w:val="00CC40CB"/>
    <w:rsid w:val="00CC54B6"/>
    <w:rsid w:val="00CC7D82"/>
    <w:rsid w:val="00CD1043"/>
    <w:rsid w:val="00CD144A"/>
    <w:rsid w:val="00CD19BA"/>
    <w:rsid w:val="00CD2C14"/>
    <w:rsid w:val="00CD2FC8"/>
    <w:rsid w:val="00CD38BF"/>
    <w:rsid w:val="00CD40E6"/>
    <w:rsid w:val="00CD4567"/>
    <w:rsid w:val="00CD45BE"/>
    <w:rsid w:val="00CD49C6"/>
    <w:rsid w:val="00CD4A95"/>
    <w:rsid w:val="00CD5BC6"/>
    <w:rsid w:val="00CE14D8"/>
    <w:rsid w:val="00CE3134"/>
    <w:rsid w:val="00CE4B14"/>
    <w:rsid w:val="00CE5449"/>
    <w:rsid w:val="00CE6352"/>
    <w:rsid w:val="00CE6A37"/>
    <w:rsid w:val="00CF0348"/>
    <w:rsid w:val="00CF0545"/>
    <w:rsid w:val="00CF0A64"/>
    <w:rsid w:val="00CF1FC9"/>
    <w:rsid w:val="00CF2138"/>
    <w:rsid w:val="00CF3382"/>
    <w:rsid w:val="00CF630F"/>
    <w:rsid w:val="00CF704E"/>
    <w:rsid w:val="00CF7EEB"/>
    <w:rsid w:val="00D023D3"/>
    <w:rsid w:val="00D02FEF"/>
    <w:rsid w:val="00D04C7B"/>
    <w:rsid w:val="00D05437"/>
    <w:rsid w:val="00D05785"/>
    <w:rsid w:val="00D1113C"/>
    <w:rsid w:val="00D138F7"/>
    <w:rsid w:val="00D139AA"/>
    <w:rsid w:val="00D17C65"/>
    <w:rsid w:val="00D2023B"/>
    <w:rsid w:val="00D20A1E"/>
    <w:rsid w:val="00D25AD2"/>
    <w:rsid w:val="00D2668B"/>
    <w:rsid w:val="00D26838"/>
    <w:rsid w:val="00D27327"/>
    <w:rsid w:val="00D2775B"/>
    <w:rsid w:val="00D27B85"/>
    <w:rsid w:val="00D30B5E"/>
    <w:rsid w:val="00D31EDB"/>
    <w:rsid w:val="00D3258D"/>
    <w:rsid w:val="00D3414B"/>
    <w:rsid w:val="00D3446F"/>
    <w:rsid w:val="00D356D4"/>
    <w:rsid w:val="00D35E49"/>
    <w:rsid w:val="00D3617C"/>
    <w:rsid w:val="00D368E2"/>
    <w:rsid w:val="00D37215"/>
    <w:rsid w:val="00D40DAC"/>
    <w:rsid w:val="00D41B54"/>
    <w:rsid w:val="00D44825"/>
    <w:rsid w:val="00D4494D"/>
    <w:rsid w:val="00D44AAF"/>
    <w:rsid w:val="00D44B33"/>
    <w:rsid w:val="00D46E56"/>
    <w:rsid w:val="00D46E89"/>
    <w:rsid w:val="00D506D4"/>
    <w:rsid w:val="00D51ABF"/>
    <w:rsid w:val="00D51C9A"/>
    <w:rsid w:val="00D51DDF"/>
    <w:rsid w:val="00D52EB5"/>
    <w:rsid w:val="00D546E0"/>
    <w:rsid w:val="00D60C53"/>
    <w:rsid w:val="00D61B70"/>
    <w:rsid w:val="00D63934"/>
    <w:rsid w:val="00D63CC6"/>
    <w:rsid w:val="00D665B0"/>
    <w:rsid w:val="00D669A7"/>
    <w:rsid w:val="00D7140C"/>
    <w:rsid w:val="00D763EC"/>
    <w:rsid w:val="00D76D7A"/>
    <w:rsid w:val="00D807D1"/>
    <w:rsid w:val="00D86ACA"/>
    <w:rsid w:val="00D87C57"/>
    <w:rsid w:val="00D901A3"/>
    <w:rsid w:val="00D90B70"/>
    <w:rsid w:val="00D92AD7"/>
    <w:rsid w:val="00D94025"/>
    <w:rsid w:val="00D9411E"/>
    <w:rsid w:val="00D943F8"/>
    <w:rsid w:val="00D94D01"/>
    <w:rsid w:val="00D95A4C"/>
    <w:rsid w:val="00D96C91"/>
    <w:rsid w:val="00DA030B"/>
    <w:rsid w:val="00DA0E0D"/>
    <w:rsid w:val="00DA18C9"/>
    <w:rsid w:val="00DA3F5D"/>
    <w:rsid w:val="00DA6A17"/>
    <w:rsid w:val="00DB0244"/>
    <w:rsid w:val="00DB0C4C"/>
    <w:rsid w:val="00DB14D3"/>
    <w:rsid w:val="00DB388A"/>
    <w:rsid w:val="00DB3F1D"/>
    <w:rsid w:val="00DB46AA"/>
    <w:rsid w:val="00DB6A55"/>
    <w:rsid w:val="00DB6ED9"/>
    <w:rsid w:val="00DC0C23"/>
    <w:rsid w:val="00DC3DE7"/>
    <w:rsid w:val="00DC457D"/>
    <w:rsid w:val="00DC4592"/>
    <w:rsid w:val="00DC574A"/>
    <w:rsid w:val="00DC6568"/>
    <w:rsid w:val="00DC770E"/>
    <w:rsid w:val="00DD0DE5"/>
    <w:rsid w:val="00DD1069"/>
    <w:rsid w:val="00DD1BD7"/>
    <w:rsid w:val="00DD2099"/>
    <w:rsid w:val="00DD4F46"/>
    <w:rsid w:val="00DD78F8"/>
    <w:rsid w:val="00DE107F"/>
    <w:rsid w:val="00DE1A23"/>
    <w:rsid w:val="00DE1E13"/>
    <w:rsid w:val="00DE217C"/>
    <w:rsid w:val="00DE223C"/>
    <w:rsid w:val="00DE2BC0"/>
    <w:rsid w:val="00DE3000"/>
    <w:rsid w:val="00DE3A78"/>
    <w:rsid w:val="00DE4628"/>
    <w:rsid w:val="00DE50AD"/>
    <w:rsid w:val="00DE5273"/>
    <w:rsid w:val="00DE53C2"/>
    <w:rsid w:val="00DE5BA1"/>
    <w:rsid w:val="00DE5FB4"/>
    <w:rsid w:val="00DF124A"/>
    <w:rsid w:val="00DF14D2"/>
    <w:rsid w:val="00DF14F4"/>
    <w:rsid w:val="00DF36E0"/>
    <w:rsid w:val="00DF484F"/>
    <w:rsid w:val="00DF673A"/>
    <w:rsid w:val="00DF7842"/>
    <w:rsid w:val="00E001D1"/>
    <w:rsid w:val="00E009B0"/>
    <w:rsid w:val="00E01852"/>
    <w:rsid w:val="00E045E4"/>
    <w:rsid w:val="00E057D8"/>
    <w:rsid w:val="00E05A20"/>
    <w:rsid w:val="00E07440"/>
    <w:rsid w:val="00E078FA"/>
    <w:rsid w:val="00E107CA"/>
    <w:rsid w:val="00E13456"/>
    <w:rsid w:val="00E13733"/>
    <w:rsid w:val="00E14930"/>
    <w:rsid w:val="00E15BAB"/>
    <w:rsid w:val="00E16DE3"/>
    <w:rsid w:val="00E17169"/>
    <w:rsid w:val="00E2025B"/>
    <w:rsid w:val="00E2160A"/>
    <w:rsid w:val="00E21812"/>
    <w:rsid w:val="00E22143"/>
    <w:rsid w:val="00E22A1F"/>
    <w:rsid w:val="00E2311A"/>
    <w:rsid w:val="00E23572"/>
    <w:rsid w:val="00E23722"/>
    <w:rsid w:val="00E23B14"/>
    <w:rsid w:val="00E25BE9"/>
    <w:rsid w:val="00E261B2"/>
    <w:rsid w:val="00E278F4"/>
    <w:rsid w:val="00E30D50"/>
    <w:rsid w:val="00E32CBC"/>
    <w:rsid w:val="00E330A7"/>
    <w:rsid w:val="00E33B78"/>
    <w:rsid w:val="00E359B9"/>
    <w:rsid w:val="00E36CE1"/>
    <w:rsid w:val="00E36D09"/>
    <w:rsid w:val="00E37680"/>
    <w:rsid w:val="00E4183C"/>
    <w:rsid w:val="00E44094"/>
    <w:rsid w:val="00E44FF9"/>
    <w:rsid w:val="00E513A2"/>
    <w:rsid w:val="00E51744"/>
    <w:rsid w:val="00E5187F"/>
    <w:rsid w:val="00E53E94"/>
    <w:rsid w:val="00E56374"/>
    <w:rsid w:val="00E5698D"/>
    <w:rsid w:val="00E60039"/>
    <w:rsid w:val="00E62B01"/>
    <w:rsid w:val="00E639D4"/>
    <w:rsid w:val="00E70196"/>
    <w:rsid w:val="00E71DF4"/>
    <w:rsid w:val="00E748CA"/>
    <w:rsid w:val="00E8059A"/>
    <w:rsid w:val="00E86265"/>
    <w:rsid w:val="00E86CB1"/>
    <w:rsid w:val="00E904EA"/>
    <w:rsid w:val="00E9259C"/>
    <w:rsid w:val="00E9465D"/>
    <w:rsid w:val="00E94D6C"/>
    <w:rsid w:val="00E956ED"/>
    <w:rsid w:val="00E95C0C"/>
    <w:rsid w:val="00EA00BF"/>
    <w:rsid w:val="00EA04F1"/>
    <w:rsid w:val="00EA2C13"/>
    <w:rsid w:val="00EA39C1"/>
    <w:rsid w:val="00EA536E"/>
    <w:rsid w:val="00EA55B5"/>
    <w:rsid w:val="00EA5E62"/>
    <w:rsid w:val="00EA60B3"/>
    <w:rsid w:val="00EA6962"/>
    <w:rsid w:val="00EB0320"/>
    <w:rsid w:val="00EB0F14"/>
    <w:rsid w:val="00EB217F"/>
    <w:rsid w:val="00EB6719"/>
    <w:rsid w:val="00EB7448"/>
    <w:rsid w:val="00EC0CC1"/>
    <w:rsid w:val="00EC2F76"/>
    <w:rsid w:val="00EC3845"/>
    <w:rsid w:val="00EC483A"/>
    <w:rsid w:val="00EC53EC"/>
    <w:rsid w:val="00EC5618"/>
    <w:rsid w:val="00EC704A"/>
    <w:rsid w:val="00EC76D3"/>
    <w:rsid w:val="00EC7FFB"/>
    <w:rsid w:val="00ED08EC"/>
    <w:rsid w:val="00ED09DF"/>
    <w:rsid w:val="00ED47B6"/>
    <w:rsid w:val="00ED49E2"/>
    <w:rsid w:val="00ED5C5D"/>
    <w:rsid w:val="00ED7C4C"/>
    <w:rsid w:val="00EE244F"/>
    <w:rsid w:val="00EE42AF"/>
    <w:rsid w:val="00EE75A1"/>
    <w:rsid w:val="00EF15BD"/>
    <w:rsid w:val="00EF1C26"/>
    <w:rsid w:val="00EF1DEE"/>
    <w:rsid w:val="00EF35B8"/>
    <w:rsid w:val="00EF3C31"/>
    <w:rsid w:val="00EF5A38"/>
    <w:rsid w:val="00EF5D2E"/>
    <w:rsid w:val="00F01222"/>
    <w:rsid w:val="00F01FD9"/>
    <w:rsid w:val="00F03141"/>
    <w:rsid w:val="00F03774"/>
    <w:rsid w:val="00F04799"/>
    <w:rsid w:val="00F06958"/>
    <w:rsid w:val="00F10177"/>
    <w:rsid w:val="00F10745"/>
    <w:rsid w:val="00F1198D"/>
    <w:rsid w:val="00F11AA6"/>
    <w:rsid w:val="00F13916"/>
    <w:rsid w:val="00F13CED"/>
    <w:rsid w:val="00F1535E"/>
    <w:rsid w:val="00F23BF0"/>
    <w:rsid w:val="00F2599F"/>
    <w:rsid w:val="00F26D89"/>
    <w:rsid w:val="00F26E12"/>
    <w:rsid w:val="00F2722D"/>
    <w:rsid w:val="00F31055"/>
    <w:rsid w:val="00F3309B"/>
    <w:rsid w:val="00F3552F"/>
    <w:rsid w:val="00F36F96"/>
    <w:rsid w:val="00F405FE"/>
    <w:rsid w:val="00F435CC"/>
    <w:rsid w:val="00F439C9"/>
    <w:rsid w:val="00F4455C"/>
    <w:rsid w:val="00F478EE"/>
    <w:rsid w:val="00F50842"/>
    <w:rsid w:val="00F50A3A"/>
    <w:rsid w:val="00F52B04"/>
    <w:rsid w:val="00F541A2"/>
    <w:rsid w:val="00F5686A"/>
    <w:rsid w:val="00F628AC"/>
    <w:rsid w:val="00F63379"/>
    <w:rsid w:val="00F63FFE"/>
    <w:rsid w:val="00F67788"/>
    <w:rsid w:val="00F7074A"/>
    <w:rsid w:val="00F7130E"/>
    <w:rsid w:val="00F7177D"/>
    <w:rsid w:val="00F734F9"/>
    <w:rsid w:val="00F73B15"/>
    <w:rsid w:val="00F74A44"/>
    <w:rsid w:val="00F7540E"/>
    <w:rsid w:val="00F75F57"/>
    <w:rsid w:val="00F760B3"/>
    <w:rsid w:val="00F76263"/>
    <w:rsid w:val="00F825A8"/>
    <w:rsid w:val="00F84331"/>
    <w:rsid w:val="00F86B1B"/>
    <w:rsid w:val="00F90DBD"/>
    <w:rsid w:val="00F928A3"/>
    <w:rsid w:val="00F934E1"/>
    <w:rsid w:val="00F954E4"/>
    <w:rsid w:val="00FA01AF"/>
    <w:rsid w:val="00FA1CD4"/>
    <w:rsid w:val="00FA257B"/>
    <w:rsid w:val="00FA2906"/>
    <w:rsid w:val="00FA356E"/>
    <w:rsid w:val="00FA6ACE"/>
    <w:rsid w:val="00FA7A18"/>
    <w:rsid w:val="00FB0F34"/>
    <w:rsid w:val="00FB196C"/>
    <w:rsid w:val="00FB258C"/>
    <w:rsid w:val="00FB3779"/>
    <w:rsid w:val="00FB41E4"/>
    <w:rsid w:val="00FB45EA"/>
    <w:rsid w:val="00FB5CF9"/>
    <w:rsid w:val="00FB5CFE"/>
    <w:rsid w:val="00FB6ABF"/>
    <w:rsid w:val="00FB7117"/>
    <w:rsid w:val="00FC01A9"/>
    <w:rsid w:val="00FC1A02"/>
    <w:rsid w:val="00FC2D3B"/>
    <w:rsid w:val="00FC315D"/>
    <w:rsid w:val="00FC331A"/>
    <w:rsid w:val="00FC567D"/>
    <w:rsid w:val="00FC669A"/>
    <w:rsid w:val="00FC6CD4"/>
    <w:rsid w:val="00FD2D40"/>
    <w:rsid w:val="00FD5476"/>
    <w:rsid w:val="00FD591C"/>
    <w:rsid w:val="00FD65EF"/>
    <w:rsid w:val="00FD6F6E"/>
    <w:rsid w:val="00FD7935"/>
    <w:rsid w:val="00FE0D1E"/>
    <w:rsid w:val="00FE12BB"/>
    <w:rsid w:val="00FE2BE9"/>
    <w:rsid w:val="00FE39CA"/>
    <w:rsid w:val="00FE3A92"/>
    <w:rsid w:val="00FE550A"/>
    <w:rsid w:val="00FE5525"/>
    <w:rsid w:val="00FE6A1F"/>
    <w:rsid w:val="00FE6E36"/>
    <w:rsid w:val="00FF1359"/>
    <w:rsid w:val="00FF213B"/>
    <w:rsid w:val="00FF2BFE"/>
    <w:rsid w:val="00FF3A4F"/>
    <w:rsid w:val="00FF3C2F"/>
    <w:rsid w:val="00FF5E95"/>
    <w:rsid w:val="00FF7BB9"/>
    <w:rsid w:val="1E290AE8"/>
    <w:rsid w:val="398CF399"/>
    <w:rsid w:val="451C57E4"/>
    <w:rsid w:val="4D6D93C5"/>
    <w:rsid w:val="51607C80"/>
    <w:rsid w:val="53DB3D95"/>
    <w:rsid w:val="65485516"/>
    <w:rsid w:val="6B5AC2E7"/>
    <w:rsid w:val="6F62490B"/>
    <w:rsid w:val="72E9C3A9"/>
    <w:rsid w:val="75178B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09F83"/>
  <w15:chartTrackingRefBased/>
  <w15:docId w15:val="{B8B2072C-A15D-481A-AB77-673E2614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222E"/>
    <w:rPr>
      <w:sz w:val="24"/>
      <w:lang w:eastAsia="en-US"/>
    </w:rPr>
  </w:style>
  <w:style w:type="paragraph" w:styleId="Heading1">
    <w:name w:val="heading 1"/>
    <w:basedOn w:val="Normal"/>
    <w:next w:val="Normal"/>
    <w:link w:val="Heading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l"/>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4E2858"/>
    <w:pPr>
      <w:numPr>
        <w:numId w:val="5"/>
      </w:numPr>
      <w:ind w:left="720"/>
    </w:pPr>
    <w:rPr>
      <w:szCs w:val="26"/>
    </w:rPr>
  </w:style>
  <w:style w:type="paragraph" w:customStyle="1" w:styleId="VMOtsikkonum2">
    <w:name w:val="VM_Otsikko_num 2"/>
    <w:next w:val="VMleipteksti"/>
    <w:qFormat/>
    <w:rsid w:val="00722420"/>
    <w:pPr>
      <w:numPr>
        <w:ilvl w:val="1"/>
        <w:numId w:val="5"/>
      </w:numPr>
      <w:spacing w:before="320" w:after="200"/>
      <w:outlineLvl w:val="1"/>
    </w:pPr>
    <w:rPr>
      <w:b/>
      <w:sz w:val="24"/>
    </w:rPr>
  </w:style>
  <w:style w:type="paragraph" w:customStyle="1" w:styleId="VMOtsikkonum3">
    <w:name w:val="VM_Otsikko_num 3"/>
    <w:basedOn w:val="VMOtsikko3"/>
    <w:next w:val="VMleipteksti"/>
    <w:qFormat/>
    <w:rsid w:val="00722420"/>
    <w:pPr>
      <w:numPr>
        <w:ilvl w:val="2"/>
        <w:numId w:val="5"/>
      </w:numPr>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Footer">
    <w:name w:val="footer"/>
    <w:basedOn w:val="Normal"/>
    <w:link w:val="FooterChar"/>
    <w:uiPriority w:val="99"/>
    <w:unhideWhenUsed/>
    <w:rsid w:val="008E0F4A"/>
    <w:pPr>
      <w:tabs>
        <w:tab w:val="center" w:pos="4819"/>
        <w:tab w:val="right" w:pos="9638"/>
      </w:tabs>
    </w:pPr>
  </w:style>
  <w:style w:type="character" w:customStyle="1" w:styleId="FooterChar">
    <w:name w:val="Footer Char"/>
    <w:basedOn w:val="DefaultParagraphFont"/>
    <w:link w:val="Footer"/>
    <w:uiPriority w:val="99"/>
    <w:rsid w:val="008E0F4A"/>
    <w:rPr>
      <w:sz w:val="24"/>
      <w:lang w:eastAsia="en-US"/>
    </w:rPr>
  </w:style>
  <w:style w:type="paragraph" w:styleId="BalloonText">
    <w:name w:val="Balloon Text"/>
    <w:basedOn w:val="Normal"/>
    <w:link w:val="BalloonTextChar"/>
    <w:uiPriority w:val="99"/>
    <w:semiHidden/>
    <w:unhideWhenUsed/>
    <w:rsid w:val="00CB4C78"/>
    <w:rPr>
      <w:rFonts w:ascii="Tahoma" w:hAnsi="Tahoma" w:cs="Tahoma"/>
      <w:sz w:val="16"/>
      <w:szCs w:val="16"/>
    </w:rPr>
  </w:style>
  <w:style w:type="character" w:customStyle="1" w:styleId="BalloonTextChar">
    <w:name w:val="Balloon Text Char"/>
    <w:basedOn w:val="DefaultParagraphFont"/>
    <w:link w:val="BalloonText"/>
    <w:uiPriority w:val="99"/>
    <w:semiHidden/>
    <w:rsid w:val="00CB4C78"/>
    <w:rPr>
      <w:rFonts w:ascii="Tahoma" w:hAnsi="Tahoma" w:cs="Tahoma"/>
      <w:sz w:val="16"/>
      <w:szCs w:val="16"/>
      <w:lang w:eastAsia="en-US"/>
    </w:rPr>
  </w:style>
  <w:style w:type="character" w:customStyle="1" w:styleId="Heading1Char">
    <w:name w:val="Heading 1 Char"/>
    <w:basedOn w:val="DefaultParagraphFont"/>
    <w:link w:val="Heading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rsid w:val="009B6311"/>
    <w:pPr>
      <w:tabs>
        <w:tab w:val="center" w:pos="4819"/>
        <w:tab w:val="right" w:pos="9638"/>
      </w:tabs>
    </w:pPr>
  </w:style>
  <w:style w:type="character" w:customStyle="1" w:styleId="HeaderChar">
    <w:name w:val="Header Char"/>
    <w:basedOn w:val="DefaultParagraphFont"/>
    <w:link w:val="Header"/>
    <w:uiPriority w:val="99"/>
    <w:rsid w:val="009B6311"/>
    <w:rPr>
      <w:sz w:val="24"/>
      <w:lang w:eastAsia="en-US"/>
    </w:rPr>
  </w:style>
  <w:style w:type="paragraph" w:styleId="ListParagraph">
    <w:name w:val="List Paragraph"/>
    <w:basedOn w:val="Normal"/>
    <w:uiPriority w:val="34"/>
    <w:rsid w:val="00DB3F1D"/>
    <w:pPr>
      <w:ind w:left="720"/>
      <w:contextualSpacing/>
    </w:pPr>
  </w:style>
  <w:style w:type="paragraph" w:styleId="TOCHeading">
    <w:name w:val="TOC Heading"/>
    <w:basedOn w:val="Heading1"/>
    <w:next w:val="Normal"/>
    <w:uiPriority w:val="39"/>
    <w:unhideWhenUsed/>
    <w:qFormat/>
    <w:rsid w:val="00E001D1"/>
    <w:pPr>
      <w:spacing w:before="240" w:line="259" w:lineRule="auto"/>
      <w:outlineLvl w:val="9"/>
    </w:pPr>
    <w:rPr>
      <w:b w:val="0"/>
      <w:bCs w:val="0"/>
      <w:sz w:val="32"/>
      <w:szCs w:val="32"/>
      <w:lang w:eastAsia="fi-FI"/>
    </w:rPr>
  </w:style>
  <w:style w:type="paragraph" w:styleId="TOC1">
    <w:name w:val="toc 1"/>
    <w:basedOn w:val="Normal"/>
    <w:next w:val="Normal"/>
    <w:autoRedefine/>
    <w:uiPriority w:val="39"/>
    <w:unhideWhenUsed/>
    <w:rsid w:val="00E001D1"/>
    <w:pPr>
      <w:spacing w:after="100"/>
    </w:pPr>
  </w:style>
  <w:style w:type="character" w:styleId="Hyperlink">
    <w:name w:val="Hyperlink"/>
    <w:basedOn w:val="DefaultParagraphFont"/>
    <w:uiPriority w:val="99"/>
    <w:unhideWhenUsed/>
    <w:rsid w:val="00E001D1"/>
    <w:rPr>
      <w:color w:val="0000FF" w:themeColor="hyperlink"/>
      <w:u w:val="single"/>
    </w:rPr>
  </w:style>
  <w:style w:type="paragraph" w:styleId="NormalWeb">
    <w:name w:val="Normal (Web)"/>
    <w:basedOn w:val="Normal"/>
    <w:uiPriority w:val="99"/>
    <w:unhideWhenUsed/>
    <w:rsid w:val="00896249"/>
    <w:pPr>
      <w:spacing w:before="100" w:beforeAutospacing="1" w:after="100" w:afterAutospacing="1"/>
    </w:pPr>
    <w:rPr>
      <w:szCs w:val="24"/>
      <w:lang w:eastAsia="fi-FI"/>
    </w:rPr>
  </w:style>
  <w:style w:type="paragraph" w:styleId="TOC2">
    <w:name w:val="toc 2"/>
    <w:basedOn w:val="Normal"/>
    <w:next w:val="Normal"/>
    <w:autoRedefine/>
    <w:uiPriority w:val="39"/>
    <w:unhideWhenUsed/>
    <w:rsid w:val="00545D07"/>
    <w:pPr>
      <w:spacing w:after="100"/>
      <w:ind w:left="240"/>
    </w:pPr>
  </w:style>
  <w:style w:type="character" w:styleId="CommentReference">
    <w:name w:val="annotation reference"/>
    <w:basedOn w:val="DefaultParagraphFont"/>
    <w:uiPriority w:val="99"/>
    <w:semiHidden/>
    <w:unhideWhenUsed/>
    <w:rsid w:val="001C7DCF"/>
    <w:rPr>
      <w:sz w:val="16"/>
      <w:szCs w:val="16"/>
    </w:rPr>
  </w:style>
  <w:style w:type="paragraph" w:styleId="CommentText">
    <w:name w:val="annotation text"/>
    <w:basedOn w:val="Normal"/>
    <w:link w:val="CommentTextChar"/>
    <w:uiPriority w:val="99"/>
    <w:semiHidden/>
    <w:unhideWhenUsed/>
    <w:rsid w:val="001C7DCF"/>
    <w:rPr>
      <w:sz w:val="20"/>
    </w:rPr>
  </w:style>
  <w:style w:type="character" w:customStyle="1" w:styleId="CommentTextChar">
    <w:name w:val="Comment Text Char"/>
    <w:basedOn w:val="DefaultParagraphFont"/>
    <w:link w:val="CommentText"/>
    <w:uiPriority w:val="99"/>
    <w:semiHidden/>
    <w:rsid w:val="001C7DCF"/>
    <w:rPr>
      <w:lang w:eastAsia="en-US"/>
    </w:rPr>
  </w:style>
  <w:style w:type="paragraph" w:styleId="CommentSubject">
    <w:name w:val="annotation subject"/>
    <w:basedOn w:val="CommentText"/>
    <w:next w:val="CommentText"/>
    <w:link w:val="CommentSubjectChar"/>
    <w:uiPriority w:val="99"/>
    <w:semiHidden/>
    <w:unhideWhenUsed/>
    <w:rsid w:val="001C7DCF"/>
    <w:rPr>
      <w:b/>
      <w:bCs/>
    </w:rPr>
  </w:style>
  <w:style w:type="character" w:customStyle="1" w:styleId="CommentSubjectChar">
    <w:name w:val="Comment Subject Char"/>
    <w:basedOn w:val="CommentTextChar"/>
    <w:link w:val="CommentSubject"/>
    <w:uiPriority w:val="99"/>
    <w:semiHidden/>
    <w:rsid w:val="001C7DCF"/>
    <w:rPr>
      <w:b/>
      <w:bCs/>
      <w:lang w:eastAsia="en-US"/>
    </w:rPr>
  </w:style>
  <w:style w:type="paragraph" w:styleId="Revision">
    <w:name w:val="Revision"/>
    <w:hidden/>
    <w:uiPriority w:val="99"/>
    <w:semiHidden/>
    <w:rsid w:val="001C7DCF"/>
    <w:rPr>
      <w:sz w:val="24"/>
      <w:lang w:eastAsia="en-US"/>
    </w:rPr>
  </w:style>
  <w:style w:type="paragraph" w:styleId="TOC3">
    <w:name w:val="toc 3"/>
    <w:basedOn w:val="Normal"/>
    <w:next w:val="Normal"/>
    <w:autoRedefine/>
    <w:uiPriority w:val="39"/>
    <w:unhideWhenUsed/>
    <w:rsid w:val="0003339F"/>
    <w:pPr>
      <w:spacing w:after="100"/>
      <w:ind w:left="480"/>
    </w:pPr>
  </w:style>
  <w:style w:type="paragraph" w:styleId="EndnoteText">
    <w:name w:val="endnote text"/>
    <w:basedOn w:val="Normal"/>
    <w:link w:val="EndnoteTextChar"/>
    <w:uiPriority w:val="99"/>
    <w:semiHidden/>
    <w:unhideWhenUsed/>
    <w:rsid w:val="00AB1444"/>
    <w:rPr>
      <w:sz w:val="20"/>
    </w:rPr>
  </w:style>
  <w:style w:type="character" w:customStyle="1" w:styleId="EndnoteTextChar">
    <w:name w:val="Endnote Text Char"/>
    <w:basedOn w:val="DefaultParagraphFont"/>
    <w:link w:val="EndnoteText"/>
    <w:uiPriority w:val="99"/>
    <w:semiHidden/>
    <w:rsid w:val="00AB1444"/>
    <w:rPr>
      <w:lang w:eastAsia="en-US"/>
    </w:rPr>
  </w:style>
  <w:style w:type="character" w:styleId="EndnoteReference">
    <w:name w:val="endnote reference"/>
    <w:basedOn w:val="DefaultParagraphFont"/>
    <w:uiPriority w:val="99"/>
    <w:semiHidden/>
    <w:unhideWhenUsed/>
    <w:rsid w:val="00AB1444"/>
    <w:rPr>
      <w:vertAlign w:val="superscript"/>
    </w:rPr>
  </w:style>
  <w:style w:type="paragraph" w:styleId="FootnoteText">
    <w:name w:val="footnote text"/>
    <w:basedOn w:val="Normal"/>
    <w:link w:val="FootnoteTextChar"/>
    <w:uiPriority w:val="99"/>
    <w:unhideWhenUsed/>
    <w:rsid w:val="00AB1444"/>
    <w:rPr>
      <w:sz w:val="20"/>
    </w:rPr>
  </w:style>
  <w:style w:type="character" w:customStyle="1" w:styleId="FootnoteTextChar">
    <w:name w:val="Footnote Text Char"/>
    <w:basedOn w:val="DefaultParagraphFont"/>
    <w:link w:val="FootnoteText"/>
    <w:uiPriority w:val="99"/>
    <w:rsid w:val="00AB1444"/>
    <w:rPr>
      <w:lang w:eastAsia="en-US"/>
    </w:rPr>
  </w:style>
  <w:style w:type="character" w:styleId="FootnoteReference">
    <w:name w:val="footnote reference"/>
    <w:basedOn w:val="DefaultParagraphFont"/>
    <w:uiPriority w:val="99"/>
    <w:semiHidden/>
    <w:unhideWhenUsed/>
    <w:rsid w:val="00AB1444"/>
    <w:rPr>
      <w:vertAlign w:val="superscript"/>
    </w:rPr>
  </w:style>
  <w:style w:type="character" w:styleId="FollowedHyperlink">
    <w:name w:val="FollowedHyperlink"/>
    <w:basedOn w:val="DefaultParagraphFont"/>
    <w:uiPriority w:val="99"/>
    <w:semiHidden/>
    <w:unhideWhenUsed/>
    <w:rsid w:val="00385263"/>
    <w:rPr>
      <w:color w:val="800080" w:themeColor="followedHyperlink"/>
      <w:u w:val="single"/>
    </w:rPr>
  </w:style>
  <w:style w:type="table" w:styleId="TableGrid">
    <w:name w:val="Table Grid"/>
    <w:basedOn w:val="TableNormal"/>
    <w:uiPriority w:val="59"/>
    <w:rsid w:val="000B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
    <w:name w:val="py"/>
    <w:basedOn w:val="Normal"/>
    <w:rsid w:val="005E3636"/>
    <w:pPr>
      <w:spacing w:before="100" w:beforeAutospacing="1" w:after="100" w:afterAutospacing="1"/>
    </w:pPr>
    <w:rPr>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10473">
      <w:bodyDiv w:val="1"/>
      <w:marLeft w:val="0"/>
      <w:marRight w:val="0"/>
      <w:marTop w:val="0"/>
      <w:marBottom w:val="0"/>
      <w:divBdr>
        <w:top w:val="none" w:sz="0" w:space="0" w:color="auto"/>
        <w:left w:val="none" w:sz="0" w:space="0" w:color="auto"/>
        <w:bottom w:val="none" w:sz="0" w:space="0" w:color="auto"/>
        <w:right w:val="none" w:sz="0" w:space="0" w:color="auto"/>
      </w:divBdr>
    </w:div>
    <w:div w:id="655033404">
      <w:bodyDiv w:val="1"/>
      <w:marLeft w:val="0"/>
      <w:marRight w:val="0"/>
      <w:marTop w:val="0"/>
      <w:marBottom w:val="0"/>
      <w:divBdr>
        <w:top w:val="none" w:sz="0" w:space="0" w:color="auto"/>
        <w:left w:val="none" w:sz="0" w:space="0" w:color="auto"/>
        <w:bottom w:val="none" w:sz="0" w:space="0" w:color="auto"/>
        <w:right w:val="none" w:sz="0" w:space="0" w:color="auto"/>
      </w:divBdr>
    </w:div>
    <w:div w:id="787623483">
      <w:bodyDiv w:val="1"/>
      <w:marLeft w:val="0"/>
      <w:marRight w:val="0"/>
      <w:marTop w:val="0"/>
      <w:marBottom w:val="0"/>
      <w:divBdr>
        <w:top w:val="none" w:sz="0" w:space="0" w:color="auto"/>
        <w:left w:val="none" w:sz="0" w:space="0" w:color="auto"/>
        <w:bottom w:val="none" w:sz="0" w:space="0" w:color="auto"/>
        <w:right w:val="none" w:sz="0" w:space="0" w:color="auto"/>
      </w:divBdr>
    </w:div>
    <w:div w:id="830557694">
      <w:bodyDiv w:val="1"/>
      <w:marLeft w:val="0"/>
      <w:marRight w:val="0"/>
      <w:marTop w:val="0"/>
      <w:marBottom w:val="0"/>
      <w:divBdr>
        <w:top w:val="none" w:sz="0" w:space="0" w:color="auto"/>
        <w:left w:val="none" w:sz="0" w:space="0" w:color="auto"/>
        <w:bottom w:val="none" w:sz="0" w:space="0" w:color="auto"/>
        <w:right w:val="none" w:sz="0" w:space="0" w:color="auto"/>
      </w:divBdr>
    </w:div>
    <w:div w:id="946228538">
      <w:bodyDiv w:val="1"/>
      <w:marLeft w:val="0"/>
      <w:marRight w:val="0"/>
      <w:marTop w:val="0"/>
      <w:marBottom w:val="0"/>
      <w:divBdr>
        <w:top w:val="none" w:sz="0" w:space="0" w:color="auto"/>
        <w:left w:val="none" w:sz="0" w:space="0" w:color="auto"/>
        <w:bottom w:val="none" w:sz="0" w:space="0" w:color="auto"/>
        <w:right w:val="none" w:sz="0" w:space="0" w:color="auto"/>
      </w:divBdr>
    </w:div>
    <w:div w:id="1049115187">
      <w:bodyDiv w:val="1"/>
      <w:marLeft w:val="0"/>
      <w:marRight w:val="0"/>
      <w:marTop w:val="0"/>
      <w:marBottom w:val="0"/>
      <w:divBdr>
        <w:top w:val="none" w:sz="0" w:space="0" w:color="auto"/>
        <w:left w:val="none" w:sz="0" w:space="0" w:color="auto"/>
        <w:bottom w:val="none" w:sz="0" w:space="0" w:color="auto"/>
        <w:right w:val="none" w:sz="0" w:space="0" w:color="auto"/>
      </w:divBdr>
    </w:div>
    <w:div w:id="1426729399">
      <w:bodyDiv w:val="1"/>
      <w:marLeft w:val="0"/>
      <w:marRight w:val="0"/>
      <w:marTop w:val="0"/>
      <w:marBottom w:val="0"/>
      <w:divBdr>
        <w:top w:val="none" w:sz="0" w:space="0" w:color="auto"/>
        <w:left w:val="none" w:sz="0" w:space="0" w:color="auto"/>
        <w:bottom w:val="none" w:sz="0" w:space="0" w:color="auto"/>
        <w:right w:val="none" w:sz="0" w:space="0" w:color="auto"/>
      </w:divBdr>
    </w:div>
    <w:div w:id="1704670295">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971549010">
      <w:bodyDiv w:val="1"/>
      <w:marLeft w:val="0"/>
      <w:marRight w:val="0"/>
      <w:marTop w:val="0"/>
      <w:marBottom w:val="0"/>
      <w:divBdr>
        <w:top w:val="none" w:sz="0" w:space="0" w:color="auto"/>
        <w:left w:val="none" w:sz="0" w:space="0" w:color="auto"/>
        <w:bottom w:val="none" w:sz="0" w:space="0" w:color="auto"/>
        <w:right w:val="none" w:sz="0" w:space="0" w:color="auto"/>
      </w:divBdr>
    </w:div>
    <w:div w:id="2054845238">
      <w:bodyDiv w:val="1"/>
      <w:marLeft w:val="0"/>
      <w:marRight w:val="0"/>
      <w:marTop w:val="0"/>
      <w:marBottom w:val="0"/>
      <w:divBdr>
        <w:top w:val="none" w:sz="0" w:space="0" w:color="auto"/>
        <w:left w:val="none" w:sz="0" w:space="0" w:color="auto"/>
        <w:bottom w:val="none" w:sz="0" w:space="0" w:color="auto"/>
        <w:right w:val="none" w:sz="0" w:space="0" w:color="auto"/>
      </w:divBdr>
    </w:div>
    <w:div w:id="208020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ur-lex.europa.eu/legal-content/FI/TXT/PDF/?uri=CELEX:32021R0447&amp;from=F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nergiavirasto.fi/paastooikeuksien-ilmaisjako"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ulkaisut.valtioneuvosto.fi/handle/10024/16317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FI/TXT/PDF/?uri=CELEX:52021XC0218(01)&amp;from=EN" TargetMode="External"/><Relationship Id="rId20" Type="http://schemas.openxmlformats.org/officeDocument/2006/relationships/hyperlink" Target="https://eur-lex.europa.eu/legal-content/FI/TXT/PDF/?uri=CELEX:32013R0389&amp;from=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businessfinland.fi/suomalaisille-asiakkaille/asiointipalvel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ur-lex.europa.eu/legal-content/FI/TXT/PDF/?uri=CELEX:32019R0331&amp;from=F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81D80279CB933A4C985328EC54A28DE1" ma:contentTypeVersion="4" ma:contentTypeDescription="Kampus asiakirja" ma:contentTypeScope="" ma:versionID="17e86a5d84e48e6592f420e18244ccb8">
  <xsd:schema xmlns:xsd="http://www.w3.org/2001/XMLSchema" xmlns:xs="http://www.w3.org/2001/XMLSchema" xmlns:p="http://schemas.microsoft.com/office/2006/metadata/properties" xmlns:ns2="c138b538-c2fd-4cca-8c26-6e4e32e5a042" xmlns:ns3="d1eb3266-115d-492c-9929-0e6e51c0ca0c" targetNamespace="http://schemas.microsoft.com/office/2006/metadata/properties" ma:root="true" ma:fieldsID="de298e0e75ef22f8f2123c4566cc1510" ns2:_="" ns3:_="">
    <xsd:import namespace="c138b538-c2fd-4cca-8c26-6e4e32e5a042"/>
    <xsd:import namespace="d1eb3266-115d-492c-9929-0e6e51c0ca0c"/>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6c1423e4-3368-4369-a09c-f0283270f9b3}" ma:internalName="TaxCatchAll" ma:showField="CatchAllData" ma:web="d1eb3266-115d-492c-9929-0e6e51c0ca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c1423e4-3368-4369-a09c-f0283270f9b3}" ma:internalName="TaxCatchAllLabel" ma:readOnly="true" ma:showField="CatchAllDataLabel" ma:web="d1eb3266-115d-492c-9929-0e6e51c0ca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eb3266-115d-492c-9929-0e6e51c0ca0c" elementFormDefault="qualified">
    <xsd:import namespace="http://schemas.microsoft.com/office/2006/documentManagement/types"/>
    <xsd:import namespace="http://schemas.microsoft.com/office/infopath/2007/PartnerControls"/>
    <xsd:element name="SharedWithUsers" ma:index="14"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A063-35A6-4558-9942-66FFF871AA11}">
  <ds:schemaRefs>
    <ds:schemaRef ds:uri="Microsoft.SharePoint.Taxonomy.ContentTypeSync"/>
  </ds:schemaRefs>
</ds:datastoreItem>
</file>

<file path=customXml/itemProps2.xml><?xml version="1.0" encoding="utf-8"?>
<ds:datastoreItem xmlns:ds="http://schemas.openxmlformats.org/officeDocument/2006/customXml" ds:itemID="{CA83D58E-8FE5-4948-A57B-4DB3D6124F96}">
  <ds:schemaRefs>
    <ds:schemaRef ds:uri="http://schemas.microsoft.com/sharepoint/v3/contenttype/forms"/>
  </ds:schemaRefs>
</ds:datastoreItem>
</file>

<file path=customXml/itemProps3.xml><?xml version="1.0" encoding="utf-8"?>
<ds:datastoreItem xmlns:ds="http://schemas.openxmlformats.org/officeDocument/2006/customXml" ds:itemID="{D234A909-359D-4395-8D66-E857AFCBBBEE}">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CFCD37F9-7341-4184-ADB1-4F7E1A40D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d1eb3266-115d-492c-9929-0e6e51c0c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6DECDC-A630-45B9-8776-9FB466FA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5510</Words>
  <Characters>31410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RRF tukiohje</vt:lpstr>
    </vt:vector>
  </TitlesOfParts>
  <Company>Suomen valtion</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RRF tukiohje</dc:title>
  <dc:subject/>
  <dc:creator>Ylikraka Saara (TEM)</dc:creator>
  <cp:keywords/>
  <dc:description/>
  <cp:lastModifiedBy>Kurten Marie (TEM)</cp:lastModifiedBy>
  <cp:revision>2</cp:revision>
  <dcterms:created xsi:type="dcterms:W3CDTF">2024-04-15T06:29:00Z</dcterms:created>
  <dcterms:modified xsi:type="dcterms:W3CDTF">2024-04-15T06:29:00Z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0x010100B5FAB64B6C204DD994D3FAC0C34E2BFF0081D80279CB933A4C985328EC54A28DE1</vt:lpwstr>
  </property>
  <property fmtid="{D5CDD505-2E9C-101B-9397-08002B2CF9AE}" pid="3" name="KampusOrganization">
    <vt:lpwstr/>
  </property>
  <property fmtid="{D5CDD505-2E9C-101B-9397-08002B2CF9AE}" pid="4" name="KampusKeywords">
    <vt:lpwstr/>
  </property>
</Properties>
</file>