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45CBF" w14:textId="77777777" w:rsidR="0095557B" w:rsidRPr="00DE5199" w:rsidRDefault="0095557B" w:rsidP="007907D4"/>
    <w:p w14:paraId="4F46E440" w14:textId="77777777" w:rsidR="0095557B" w:rsidRPr="00DE5199" w:rsidRDefault="0095557B" w:rsidP="007907D4"/>
    <w:p w14:paraId="6DAF556C" w14:textId="77777777" w:rsidR="0095557B" w:rsidRPr="00DE5199" w:rsidRDefault="0095557B" w:rsidP="007907D4"/>
    <w:p w14:paraId="7A6CF8D5" w14:textId="77777777" w:rsidR="0095557B" w:rsidRPr="00DE5199" w:rsidRDefault="0095557B" w:rsidP="007907D4"/>
    <w:p w14:paraId="4192F319" w14:textId="77777777" w:rsidR="0095557B" w:rsidRPr="00DE5199" w:rsidRDefault="0095557B" w:rsidP="007907D4"/>
    <w:p w14:paraId="3D84D954" w14:textId="77777777" w:rsidR="0095557B" w:rsidRPr="007A650F" w:rsidRDefault="007907D4" w:rsidP="007A650F">
      <w:pPr>
        <w:jc w:val="center"/>
        <w:rPr>
          <w:b/>
          <w:sz w:val="40"/>
          <w:szCs w:val="40"/>
        </w:rPr>
      </w:pPr>
      <w:r w:rsidRPr="007A650F">
        <w:rPr>
          <w:b/>
          <w:sz w:val="40"/>
        </w:rPr>
        <w:t>KANSALLINEN MARKKINAVALVONTAOHJELMA</w:t>
      </w:r>
    </w:p>
    <w:p w14:paraId="2C923DCA" w14:textId="43E83788" w:rsidR="0095557B" w:rsidRDefault="007A650F" w:rsidP="0095557B">
      <w:pPr>
        <w:jc w:val="center"/>
        <w:rPr>
          <w:b/>
          <w:sz w:val="40"/>
        </w:rPr>
      </w:pPr>
      <w:r w:rsidRPr="007A650F">
        <w:rPr>
          <w:b/>
          <w:sz w:val="40"/>
        </w:rPr>
        <w:t>20</w:t>
      </w:r>
      <w:r w:rsidR="001C52F2">
        <w:rPr>
          <w:b/>
          <w:sz w:val="40"/>
        </w:rPr>
        <w:t>20</w:t>
      </w:r>
    </w:p>
    <w:p w14:paraId="015932CC" w14:textId="77777777" w:rsidR="007A650F" w:rsidRPr="007A650F" w:rsidRDefault="007A650F" w:rsidP="0095557B">
      <w:pPr>
        <w:jc w:val="center"/>
        <w:rPr>
          <w:b/>
          <w:sz w:val="40"/>
          <w:szCs w:val="40"/>
        </w:rPr>
      </w:pPr>
    </w:p>
    <w:p w14:paraId="55FE695D" w14:textId="77777777" w:rsidR="007907D4" w:rsidRPr="007A650F" w:rsidRDefault="007A650F" w:rsidP="0095557B">
      <w:pPr>
        <w:jc w:val="center"/>
        <w:rPr>
          <w:b/>
          <w:sz w:val="40"/>
          <w:szCs w:val="40"/>
        </w:rPr>
      </w:pPr>
      <w:r w:rsidRPr="007A650F">
        <w:rPr>
          <w:b/>
          <w:sz w:val="40"/>
        </w:rPr>
        <w:t>Suomi</w:t>
      </w:r>
    </w:p>
    <w:p w14:paraId="1C1D09E7" w14:textId="77777777" w:rsidR="0095557B" w:rsidRPr="00DE5199" w:rsidRDefault="0095557B" w:rsidP="0095557B">
      <w:pPr>
        <w:jc w:val="center"/>
        <w:rPr>
          <w:b/>
          <w:i/>
        </w:rPr>
      </w:pPr>
    </w:p>
    <w:p w14:paraId="21119E30" w14:textId="77777777" w:rsidR="0095557B" w:rsidRPr="00DE5199" w:rsidRDefault="0095557B" w:rsidP="0095557B">
      <w:pPr>
        <w:jc w:val="center"/>
        <w:rPr>
          <w:i/>
        </w:rPr>
      </w:pPr>
    </w:p>
    <w:p w14:paraId="3BEE64EA" w14:textId="77777777" w:rsidR="0095557B" w:rsidRPr="00DE5199" w:rsidRDefault="0095557B" w:rsidP="0095557B">
      <w:pPr>
        <w:jc w:val="center"/>
        <w:rPr>
          <w:i/>
        </w:rPr>
      </w:pPr>
    </w:p>
    <w:p w14:paraId="43A237CE" w14:textId="77777777" w:rsidR="0095557B" w:rsidRPr="00DE5199" w:rsidRDefault="0095557B" w:rsidP="0095557B">
      <w:pPr>
        <w:jc w:val="center"/>
        <w:rPr>
          <w:i/>
        </w:rPr>
      </w:pPr>
    </w:p>
    <w:p w14:paraId="4143A8A9" w14:textId="77777777" w:rsidR="0095557B" w:rsidRPr="00DE5199" w:rsidRDefault="0095557B" w:rsidP="0095557B">
      <w:pPr>
        <w:jc w:val="center"/>
      </w:pPr>
    </w:p>
    <w:p w14:paraId="5BAA3887" w14:textId="77777777" w:rsidR="0095557B" w:rsidRPr="00DE5199" w:rsidRDefault="0095557B" w:rsidP="0095557B">
      <w:pPr>
        <w:jc w:val="center"/>
      </w:pPr>
    </w:p>
    <w:p w14:paraId="2C478AC8" w14:textId="77777777" w:rsidR="0095557B" w:rsidRPr="00DE5199" w:rsidRDefault="0095557B" w:rsidP="0095557B">
      <w:pPr>
        <w:jc w:val="center"/>
      </w:pPr>
    </w:p>
    <w:p w14:paraId="4FA3D82C" w14:textId="77777777" w:rsidR="0095557B" w:rsidRPr="00DE5199" w:rsidRDefault="0095557B" w:rsidP="0095557B">
      <w:pPr>
        <w:jc w:val="center"/>
      </w:pPr>
    </w:p>
    <w:p w14:paraId="5BA8EEB1" w14:textId="77777777" w:rsidR="0095557B" w:rsidRPr="00DE5199" w:rsidRDefault="0095557B" w:rsidP="0095557B">
      <w:pPr>
        <w:jc w:val="center"/>
      </w:pPr>
    </w:p>
    <w:p w14:paraId="7AD9ECEA" w14:textId="77777777" w:rsidR="0095557B" w:rsidRPr="00DE5199" w:rsidRDefault="0095557B" w:rsidP="0095557B">
      <w:pPr>
        <w:jc w:val="center"/>
      </w:pPr>
    </w:p>
    <w:p w14:paraId="1562CD70" w14:textId="77777777" w:rsidR="0095557B" w:rsidRPr="00DE5199" w:rsidRDefault="0095557B" w:rsidP="0095557B">
      <w:pPr>
        <w:jc w:val="center"/>
      </w:pPr>
    </w:p>
    <w:p w14:paraId="0A70020E" w14:textId="77777777" w:rsidR="0095557B" w:rsidRPr="00DE5199" w:rsidRDefault="0095557B" w:rsidP="0095557B">
      <w:pPr>
        <w:jc w:val="center"/>
      </w:pPr>
    </w:p>
    <w:p w14:paraId="060B87B1" w14:textId="77777777" w:rsidR="0095557B" w:rsidRPr="00DE5199" w:rsidRDefault="0095557B" w:rsidP="0095557B">
      <w:pPr>
        <w:jc w:val="center"/>
      </w:pPr>
    </w:p>
    <w:p w14:paraId="0361320C" w14:textId="77777777" w:rsidR="002E5045" w:rsidRPr="00DE5199" w:rsidRDefault="002E5045" w:rsidP="007C39AF"/>
    <w:p w14:paraId="42C9B84C" w14:textId="77777777" w:rsidR="002E5045" w:rsidRPr="00DE5199" w:rsidRDefault="007A650F">
      <w:pPr>
        <w:pStyle w:val="Sisllysluettelonotsikko"/>
      </w:pPr>
      <w:r>
        <w:br w:type="page"/>
      </w:r>
      <w:r w:rsidR="002E5045">
        <w:lastRenderedPageBreak/>
        <w:t>Sisällysluettelo</w:t>
      </w:r>
    </w:p>
    <w:p w14:paraId="03D16C0E" w14:textId="4F1180FB" w:rsidR="00D60B5C" w:rsidRDefault="002851F1">
      <w:pPr>
        <w:pStyle w:val="Sisluet1"/>
        <w:rPr>
          <w:rFonts w:asciiTheme="minorHAnsi" w:eastAsiaTheme="minorEastAsia" w:hAnsiTheme="minorHAnsi" w:cstheme="minorBidi"/>
          <w:caps w:val="0"/>
          <w:noProof/>
          <w:sz w:val="22"/>
          <w:szCs w:val="22"/>
          <w:lang w:bidi="ar-SA"/>
        </w:rPr>
      </w:pPr>
      <w:r>
        <w:fldChar w:fldCharType="begin"/>
      </w:r>
      <w:r>
        <w:instrText xml:space="preserve"> TOC \o "1-3" \u </w:instrText>
      </w:r>
      <w:r>
        <w:fldChar w:fldCharType="separate"/>
      </w:r>
      <w:r w:rsidR="00D60B5C">
        <w:rPr>
          <w:noProof/>
        </w:rPr>
        <w:t>1.</w:t>
      </w:r>
      <w:r w:rsidR="00D60B5C">
        <w:rPr>
          <w:rFonts w:asciiTheme="minorHAnsi" w:eastAsiaTheme="minorEastAsia" w:hAnsiTheme="minorHAnsi" w:cstheme="minorBidi"/>
          <w:caps w:val="0"/>
          <w:noProof/>
          <w:sz w:val="22"/>
          <w:szCs w:val="22"/>
          <w:lang w:bidi="ar-SA"/>
        </w:rPr>
        <w:tab/>
      </w:r>
      <w:r w:rsidR="00D60B5C">
        <w:rPr>
          <w:noProof/>
        </w:rPr>
        <w:t>markkinavalvonnan yleinen organisaatio ja infrastruktuuri</w:t>
      </w:r>
      <w:r w:rsidR="00D60B5C">
        <w:rPr>
          <w:noProof/>
        </w:rPr>
        <w:tab/>
      </w:r>
      <w:r w:rsidR="00D60B5C">
        <w:rPr>
          <w:noProof/>
        </w:rPr>
        <w:fldChar w:fldCharType="begin"/>
      </w:r>
      <w:r w:rsidR="00D60B5C">
        <w:rPr>
          <w:noProof/>
        </w:rPr>
        <w:instrText xml:space="preserve"> PAGEREF _Toc33713628 \h </w:instrText>
      </w:r>
      <w:r w:rsidR="00D60B5C">
        <w:rPr>
          <w:noProof/>
        </w:rPr>
      </w:r>
      <w:r w:rsidR="00D60B5C">
        <w:rPr>
          <w:noProof/>
        </w:rPr>
        <w:fldChar w:fldCharType="separate"/>
      </w:r>
      <w:r w:rsidR="00D60B5C">
        <w:rPr>
          <w:noProof/>
        </w:rPr>
        <w:t>3</w:t>
      </w:r>
      <w:r w:rsidR="00D60B5C">
        <w:rPr>
          <w:noProof/>
        </w:rPr>
        <w:fldChar w:fldCharType="end"/>
      </w:r>
    </w:p>
    <w:p w14:paraId="142B1022" w14:textId="137C44BD" w:rsidR="00D60B5C" w:rsidRDefault="00D60B5C">
      <w:pPr>
        <w:pStyle w:val="Sisluet2"/>
        <w:tabs>
          <w:tab w:val="left" w:pos="1077"/>
        </w:tabs>
        <w:rPr>
          <w:rFonts w:asciiTheme="minorHAnsi" w:eastAsiaTheme="minorEastAsia" w:hAnsiTheme="minorHAnsi" w:cstheme="minorBidi"/>
          <w:noProof/>
          <w:sz w:val="22"/>
          <w:szCs w:val="22"/>
          <w:lang w:bidi="ar-SA"/>
        </w:rPr>
      </w:pPr>
      <w:r w:rsidRPr="00F379B1">
        <w:rPr>
          <w:noProof/>
          <w:color w:val="000000"/>
        </w:rPr>
        <w:t>1.1.</w:t>
      </w:r>
      <w:r>
        <w:rPr>
          <w:rFonts w:asciiTheme="minorHAnsi" w:eastAsiaTheme="minorEastAsia" w:hAnsiTheme="minorHAnsi" w:cstheme="minorBidi"/>
          <w:noProof/>
          <w:sz w:val="22"/>
          <w:szCs w:val="22"/>
          <w:lang w:bidi="ar-SA"/>
        </w:rPr>
        <w:tab/>
      </w:r>
      <w:r>
        <w:rPr>
          <w:noProof/>
        </w:rPr>
        <w:t>Kansalliset markkinavalvontaviranomaiset ja vastuualueet</w:t>
      </w:r>
      <w:r>
        <w:rPr>
          <w:noProof/>
        </w:rPr>
        <w:tab/>
      </w:r>
      <w:r>
        <w:rPr>
          <w:noProof/>
        </w:rPr>
        <w:fldChar w:fldCharType="begin"/>
      </w:r>
      <w:r>
        <w:rPr>
          <w:noProof/>
        </w:rPr>
        <w:instrText xml:space="preserve"> PAGEREF _Toc33713629 \h </w:instrText>
      </w:r>
      <w:r>
        <w:rPr>
          <w:noProof/>
        </w:rPr>
      </w:r>
      <w:r>
        <w:rPr>
          <w:noProof/>
        </w:rPr>
        <w:fldChar w:fldCharType="separate"/>
      </w:r>
      <w:r>
        <w:rPr>
          <w:noProof/>
        </w:rPr>
        <w:t>3</w:t>
      </w:r>
      <w:r>
        <w:rPr>
          <w:noProof/>
        </w:rPr>
        <w:fldChar w:fldCharType="end"/>
      </w:r>
    </w:p>
    <w:p w14:paraId="5316A0EC" w14:textId="733D14FA" w:rsidR="00D60B5C" w:rsidRDefault="00D60B5C">
      <w:pPr>
        <w:pStyle w:val="Sisluet2"/>
        <w:tabs>
          <w:tab w:val="left" w:pos="1077"/>
        </w:tabs>
        <w:rPr>
          <w:rFonts w:asciiTheme="minorHAnsi" w:eastAsiaTheme="minorEastAsia" w:hAnsiTheme="minorHAnsi" w:cstheme="minorBidi"/>
          <w:noProof/>
          <w:sz w:val="22"/>
          <w:szCs w:val="22"/>
          <w:lang w:bidi="ar-SA"/>
        </w:rPr>
      </w:pPr>
      <w:r w:rsidRPr="00F379B1">
        <w:rPr>
          <w:noProof/>
          <w:color w:val="000000"/>
        </w:rPr>
        <w:t>1.2.</w:t>
      </w:r>
      <w:r>
        <w:rPr>
          <w:rFonts w:asciiTheme="minorHAnsi" w:eastAsiaTheme="minorEastAsia" w:hAnsiTheme="minorHAnsi" w:cstheme="minorBidi"/>
          <w:noProof/>
          <w:sz w:val="22"/>
          <w:szCs w:val="22"/>
          <w:lang w:bidi="ar-SA"/>
        </w:rPr>
        <w:tab/>
      </w:r>
      <w:r>
        <w:rPr>
          <w:noProof/>
        </w:rPr>
        <w:t>Kansallisten markkinavalvontaviranomaisten välinen koordinointi ja yhteistyö</w:t>
      </w:r>
      <w:r>
        <w:rPr>
          <w:noProof/>
        </w:rPr>
        <w:tab/>
      </w:r>
      <w:r>
        <w:rPr>
          <w:noProof/>
        </w:rPr>
        <w:fldChar w:fldCharType="begin"/>
      </w:r>
      <w:r>
        <w:rPr>
          <w:noProof/>
        </w:rPr>
        <w:instrText xml:space="preserve"> PAGEREF _Toc33713630 \h </w:instrText>
      </w:r>
      <w:r>
        <w:rPr>
          <w:noProof/>
        </w:rPr>
      </w:r>
      <w:r>
        <w:rPr>
          <w:noProof/>
        </w:rPr>
        <w:fldChar w:fldCharType="separate"/>
      </w:r>
      <w:r>
        <w:rPr>
          <w:noProof/>
        </w:rPr>
        <w:t>4</w:t>
      </w:r>
      <w:r>
        <w:rPr>
          <w:noProof/>
        </w:rPr>
        <w:fldChar w:fldCharType="end"/>
      </w:r>
    </w:p>
    <w:p w14:paraId="26285CE5" w14:textId="33FF6FAA" w:rsidR="00D60B5C" w:rsidRDefault="00D60B5C">
      <w:pPr>
        <w:pStyle w:val="Sisluet2"/>
        <w:tabs>
          <w:tab w:val="left" w:pos="1077"/>
        </w:tabs>
        <w:rPr>
          <w:rFonts w:asciiTheme="minorHAnsi" w:eastAsiaTheme="minorEastAsia" w:hAnsiTheme="minorHAnsi" w:cstheme="minorBidi"/>
          <w:noProof/>
          <w:sz w:val="22"/>
          <w:szCs w:val="22"/>
          <w:lang w:bidi="ar-SA"/>
        </w:rPr>
      </w:pPr>
      <w:r w:rsidRPr="00F379B1">
        <w:rPr>
          <w:noProof/>
          <w:color w:val="000000"/>
        </w:rPr>
        <w:t>1.3.</w:t>
      </w:r>
      <w:r>
        <w:rPr>
          <w:rFonts w:asciiTheme="minorHAnsi" w:eastAsiaTheme="minorEastAsia" w:hAnsiTheme="minorHAnsi" w:cstheme="minorBidi"/>
          <w:noProof/>
          <w:sz w:val="22"/>
          <w:szCs w:val="22"/>
          <w:lang w:bidi="ar-SA"/>
        </w:rPr>
        <w:tab/>
      </w:r>
      <w:r>
        <w:rPr>
          <w:noProof/>
        </w:rPr>
        <w:t>Kansallisten markkinavalvontaviranomaisten ja tullin yhteistyö</w:t>
      </w:r>
      <w:r>
        <w:rPr>
          <w:noProof/>
        </w:rPr>
        <w:tab/>
      </w:r>
      <w:r>
        <w:rPr>
          <w:noProof/>
        </w:rPr>
        <w:fldChar w:fldCharType="begin"/>
      </w:r>
      <w:r>
        <w:rPr>
          <w:noProof/>
        </w:rPr>
        <w:instrText xml:space="preserve"> PAGEREF _Toc33713631 \h </w:instrText>
      </w:r>
      <w:r>
        <w:rPr>
          <w:noProof/>
        </w:rPr>
      </w:r>
      <w:r>
        <w:rPr>
          <w:noProof/>
        </w:rPr>
        <w:fldChar w:fldCharType="separate"/>
      </w:r>
      <w:r>
        <w:rPr>
          <w:noProof/>
        </w:rPr>
        <w:t>6</w:t>
      </w:r>
      <w:r>
        <w:rPr>
          <w:noProof/>
        </w:rPr>
        <w:fldChar w:fldCharType="end"/>
      </w:r>
    </w:p>
    <w:p w14:paraId="75808AE4" w14:textId="624E1821" w:rsidR="00D60B5C" w:rsidRDefault="00D60B5C">
      <w:pPr>
        <w:pStyle w:val="Sisluet2"/>
        <w:tabs>
          <w:tab w:val="left" w:pos="1077"/>
        </w:tabs>
        <w:rPr>
          <w:rFonts w:asciiTheme="minorHAnsi" w:eastAsiaTheme="minorEastAsia" w:hAnsiTheme="minorHAnsi" w:cstheme="minorBidi"/>
          <w:noProof/>
          <w:sz w:val="22"/>
          <w:szCs w:val="22"/>
          <w:lang w:bidi="ar-SA"/>
        </w:rPr>
      </w:pPr>
      <w:r w:rsidRPr="00F379B1">
        <w:rPr>
          <w:noProof/>
          <w:color w:val="000000"/>
        </w:rPr>
        <w:t>1.4.</w:t>
      </w:r>
      <w:r>
        <w:rPr>
          <w:rFonts w:asciiTheme="minorHAnsi" w:eastAsiaTheme="minorEastAsia" w:hAnsiTheme="minorHAnsi" w:cstheme="minorBidi"/>
          <w:noProof/>
          <w:sz w:val="22"/>
          <w:szCs w:val="22"/>
          <w:lang w:bidi="ar-SA"/>
        </w:rPr>
        <w:tab/>
      </w:r>
      <w:r>
        <w:rPr>
          <w:noProof/>
        </w:rPr>
        <w:t>Nopea tietojenvaihtojärjestelmä Safety Gate (RAPEX)</w:t>
      </w:r>
      <w:r>
        <w:rPr>
          <w:noProof/>
        </w:rPr>
        <w:tab/>
      </w:r>
      <w:r>
        <w:rPr>
          <w:noProof/>
        </w:rPr>
        <w:fldChar w:fldCharType="begin"/>
      </w:r>
      <w:r>
        <w:rPr>
          <w:noProof/>
        </w:rPr>
        <w:instrText xml:space="preserve"> PAGEREF _Toc33713632 \h </w:instrText>
      </w:r>
      <w:r>
        <w:rPr>
          <w:noProof/>
        </w:rPr>
      </w:r>
      <w:r>
        <w:rPr>
          <w:noProof/>
        </w:rPr>
        <w:fldChar w:fldCharType="separate"/>
      </w:r>
      <w:r>
        <w:rPr>
          <w:noProof/>
        </w:rPr>
        <w:t>6</w:t>
      </w:r>
      <w:r>
        <w:rPr>
          <w:noProof/>
        </w:rPr>
        <w:fldChar w:fldCharType="end"/>
      </w:r>
    </w:p>
    <w:p w14:paraId="5F5D3487" w14:textId="761E5DE9" w:rsidR="00D60B5C" w:rsidRDefault="00D60B5C">
      <w:pPr>
        <w:pStyle w:val="Sisluet2"/>
        <w:tabs>
          <w:tab w:val="left" w:pos="1077"/>
        </w:tabs>
        <w:rPr>
          <w:rFonts w:asciiTheme="minorHAnsi" w:eastAsiaTheme="minorEastAsia" w:hAnsiTheme="minorHAnsi" w:cstheme="minorBidi"/>
          <w:noProof/>
          <w:sz w:val="22"/>
          <w:szCs w:val="22"/>
          <w:lang w:bidi="ar-SA"/>
        </w:rPr>
      </w:pPr>
      <w:r w:rsidRPr="00F379B1">
        <w:rPr>
          <w:noProof/>
          <w:color w:val="000000"/>
        </w:rPr>
        <w:t>1.5.</w:t>
      </w:r>
      <w:r>
        <w:rPr>
          <w:rFonts w:asciiTheme="minorHAnsi" w:eastAsiaTheme="minorEastAsia" w:hAnsiTheme="minorHAnsi" w:cstheme="minorBidi"/>
          <w:noProof/>
          <w:sz w:val="22"/>
          <w:szCs w:val="22"/>
          <w:lang w:bidi="ar-SA"/>
        </w:rPr>
        <w:tab/>
      </w:r>
      <w:r>
        <w:rPr>
          <w:noProof/>
        </w:rPr>
        <w:t>ICSMS-tiedonvaihtojärjestelmä</w:t>
      </w:r>
      <w:r>
        <w:rPr>
          <w:noProof/>
        </w:rPr>
        <w:tab/>
      </w:r>
      <w:r>
        <w:rPr>
          <w:noProof/>
        </w:rPr>
        <w:fldChar w:fldCharType="begin"/>
      </w:r>
      <w:r>
        <w:rPr>
          <w:noProof/>
        </w:rPr>
        <w:instrText xml:space="preserve"> PAGEREF _Toc33713633 \h </w:instrText>
      </w:r>
      <w:r>
        <w:rPr>
          <w:noProof/>
        </w:rPr>
      </w:r>
      <w:r>
        <w:rPr>
          <w:noProof/>
        </w:rPr>
        <w:fldChar w:fldCharType="separate"/>
      </w:r>
      <w:r>
        <w:rPr>
          <w:noProof/>
        </w:rPr>
        <w:t>6</w:t>
      </w:r>
      <w:r>
        <w:rPr>
          <w:noProof/>
        </w:rPr>
        <w:fldChar w:fldCharType="end"/>
      </w:r>
    </w:p>
    <w:p w14:paraId="15B507DF" w14:textId="5BA423F6" w:rsidR="00D60B5C" w:rsidRDefault="00D60B5C">
      <w:pPr>
        <w:pStyle w:val="Sisluet2"/>
        <w:tabs>
          <w:tab w:val="left" w:pos="1077"/>
        </w:tabs>
        <w:rPr>
          <w:rFonts w:asciiTheme="minorHAnsi" w:eastAsiaTheme="minorEastAsia" w:hAnsiTheme="minorHAnsi" w:cstheme="minorBidi"/>
          <w:noProof/>
          <w:sz w:val="22"/>
          <w:szCs w:val="22"/>
          <w:lang w:bidi="ar-SA"/>
        </w:rPr>
      </w:pPr>
      <w:r w:rsidRPr="00F379B1">
        <w:rPr>
          <w:noProof/>
          <w:color w:val="000000"/>
        </w:rPr>
        <w:t>1.6.</w:t>
      </w:r>
      <w:r>
        <w:rPr>
          <w:rFonts w:asciiTheme="minorHAnsi" w:eastAsiaTheme="minorEastAsia" w:hAnsiTheme="minorHAnsi" w:cstheme="minorBidi"/>
          <w:noProof/>
          <w:sz w:val="22"/>
          <w:szCs w:val="22"/>
          <w:lang w:bidi="ar-SA"/>
        </w:rPr>
        <w:tab/>
      </w:r>
      <w:r>
        <w:rPr>
          <w:noProof/>
        </w:rPr>
        <w:t>Yleinen kuvaus markkinavalvontatoimista ja niihin liittyvistä menettelyistä</w:t>
      </w:r>
      <w:r>
        <w:rPr>
          <w:noProof/>
        </w:rPr>
        <w:tab/>
      </w:r>
      <w:r>
        <w:rPr>
          <w:noProof/>
        </w:rPr>
        <w:fldChar w:fldCharType="begin"/>
      </w:r>
      <w:r>
        <w:rPr>
          <w:noProof/>
        </w:rPr>
        <w:instrText xml:space="preserve"> PAGEREF _Toc33713634 \h </w:instrText>
      </w:r>
      <w:r>
        <w:rPr>
          <w:noProof/>
        </w:rPr>
      </w:r>
      <w:r>
        <w:rPr>
          <w:noProof/>
        </w:rPr>
        <w:fldChar w:fldCharType="separate"/>
      </w:r>
      <w:r>
        <w:rPr>
          <w:noProof/>
        </w:rPr>
        <w:t>7</w:t>
      </w:r>
      <w:r>
        <w:rPr>
          <w:noProof/>
        </w:rPr>
        <w:fldChar w:fldCharType="end"/>
      </w:r>
    </w:p>
    <w:p w14:paraId="5CFBADE8" w14:textId="705168AC" w:rsidR="00D60B5C" w:rsidRDefault="00D60B5C">
      <w:pPr>
        <w:pStyle w:val="Sisluet2"/>
        <w:tabs>
          <w:tab w:val="left" w:pos="1077"/>
        </w:tabs>
        <w:rPr>
          <w:rFonts w:asciiTheme="minorHAnsi" w:eastAsiaTheme="minorEastAsia" w:hAnsiTheme="minorHAnsi" w:cstheme="minorBidi"/>
          <w:noProof/>
          <w:sz w:val="22"/>
          <w:szCs w:val="22"/>
          <w:lang w:bidi="ar-SA"/>
        </w:rPr>
      </w:pPr>
      <w:r w:rsidRPr="00F379B1">
        <w:rPr>
          <w:noProof/>
          <w:color w:val="000000"/>
        </w:rPr>
        <w:t>1.7.</w:t>
      </w:r>
      <w:r>
        <w:rPr>
          <w:rFonts w:asciiTheme="minorHAnsi" w:eastAsiaTheme="minorEastAsia" w:hAnsiTheme="minorHAnsi" w:cstheme="minorBidi"/>
          <w:noProof/>
          <w:sz w:val="22"/>
          <w:szCs w:val="22"/>
          <w:lang w:bidi="ar-SA"/>
        </w:rPr>
        <w:tab/>
      </w:r>
      <w:r>
        <w:rPr>
          <w:noProof/>
        </w:rPr>
        <w:t>Yleiset puitteet yhteistyölle muiden jäsenvaltioiden ja unionin ulkopuolisten maiden kanssa</w:t>
      </w:r>
      <w:r>
        <w:rPr>
          <w:noProof/>
        </w:rPr>
        <w:tab/>
      </w:r>
      <w:r>
        <w:rPr>
          <w:noProof/>
        </w:rPr>
        <w:fldChar w:fldCharType="begin"/>
      </w:r>
      <w:r>
        <w:rPr>
          <w:noProof/>
        </w:rPr>
        <w:instrText xml:space="preserve"> PAGEREF _Toc33713635 \h </w:instrText>
      </w:r>
      <w:r>
        <w:rPr>
          <w:noProof/>
        </w:rPr>
      </w:r>
      <w:r>
        <w:rPr>
          <w:noProof/>
        </w:rPr>
        <w:fldChar w:fldCharType="separate"/>
      </w:r>
      <w:r>
        <w:rPr>
          <w:noProof/>
        </w:rPr>
        <w:t>8</w:t>
      </w:r>
      <w:r>
        <w:rPr>
          <w:noProof/>
        </w:rPr>
        <w:fldChar w:fldCharType="end"/>
      </w:r>
    </w:p>
    <w:p w14:paraId="3E4B8A74" w14:textId="77FE6807" w:rsidR="00D60B5C" w:rsidRDefault="00D60B5C">
      <w:pPr>
        <w:pStyle w:val="Sisluet2"/>
        <w:tabs>
          <w:tab w:val="left" w:pos="1077"/>
        </w:tabs>
        <w:rPr>
          <w:rFonts w:asciiTheme="minorHAnsi" w:eastAsiaTheme="minorEastAsia" w:hAnsiTheme="minorHAnsi" w:cstheme="minorBidi"/>
          <w:noProof/>
          <w:sz w:val="22"/>
          <w:szCs w:val="22"/>
          <w:lang w:bidi="ar-SA"/>
        </w:rPr>
      </w:pPr>
      <w:r w:rsidRPr="00F379B1">
        <w:rPr>
          <w:noProof/>
          <w:color w:val="000000"/>
        </w:rPr>
        <w:t>1.8.</w:t>
      </w:r>
      <w:r>
        <w:rPr>
          <w:rFonts w:asciiTheme="minorHAnsi" w:eastAsiaTheme="minorEastAsia" w:hAnsiTheme="minorHAnsi" w:cstheme="minorBidi"/>
          <w:noProof/>
          <w:sz w:val="22"/>
          <w:szCs w:val="22"/>
          <w:lang w:bidi="ar-SA"/>
        </w:rPr>
        <w:tab/>
      </w:r>
      <w:r>
        <w:rPr>
          <w:noProof/>
        </w:rPr>
        <w:t>Markkinavalvontatoimien arviointi ja raportointi</w:t>
      </w:r>
      <w:r>
        <w:rPr>
          <w:noProof/>
        </w:rPr>
        <w:tab/>
      </w:r>
      <w:r>
        <w:rPr>
          <w:noProof/>
        </w:rPr>
        <w:fldChar w:fldCharType="begin"/>
      </w:r>
      <w:r>
        <w:rPr>
          <w:noProof/>
        </w:rPr>
        <w:instrText xml:space="preserve"> PAGEREF _Toc33713636 \h </w:instrText>
      </w:r>
      <w:r>
        <w:rPr>
          <w:noProof/>
        </w:rPr>
      </w:r>
      <w:r>
        <w:rPr>
          <w:noProof/>
        </w:rPr>
        <w:fldChar w:fldCharType="separate"/>
      </w:r>
      <w:r>
        <w:rPr>
          <w:noProof/>
        </w:rPr>
        <w:t>8</w:t>
      </w:r>
      <w:r>
        <w:rPr>
          <w:noProof/>
        </w:rPr>
        <w:fldChar w:fldCharType="end"/>
      </w:r>
    </w:p>
    <w:p w14:paraId="730B5091" w14:textId="3F875AE1" w:rsidR="00D60B5C" w:rsidRDefault="00D60B5C">
      <w:pPr>
        <w:pStyle w:val="Sisluet2"/>
        <w:tabs>
          <w:tab w:val="left" w:pos="1077"/>
        </w:tabs>
        <w:rPr>
          <w:rFonts w:asciiTheme="minorHAnsi" w:eastAsiaTheme="minorEastAsia" w:hAnsiTheme="minorHAnsi" w:cstheme="minorBidi"/>
          <w:noProof/>
          <w:sz w:val="22"/>
          <w:szCs w:val="22"/>
          <w:lang w:bidi="ar-SA"/>
        </w:rPr>
      </w:pPr>
      <w:r w:rsidRPr="00F379B1">
        <w:rPr>
          <w:noProof/>
          <w:color w:val="000000"/>
        </w:rPr>
        <w:t>1.9.</w:t>
      </w:r>
      <w:r>
        <w:rPr>
          <w:rFonts w:asciiTheme="minorHAnsi" w:eastAsiaTheme="minorEastAsia" w:hAnsiTheme="minorHAnsi" w:cstheme="minorBidi"/>
          <w:noProof/>
          <w:sz w:val="22"/>
          <w:szCs w:val="22"/>
          <w:lang w:bidi="ar-SA"/>
        </w:rPr>
        <w:tab/>
      </w:r>
      <w:r>
        <w:rPr>
          <w:noProof/>
        </w:rPr>
        <w:t>Kaudelle suunnitellut monialaiset markkinavalvontatoimet</w:t>
      </w:r>
      <w:r>
        <w:rPr>
          <w:noProof/>
        </w:rPr>
        <w:tab/>
      </w:r>
      <w:r>
        <w:rPr>
          <w:noProof/>
        </w:rPr>
        <w:fldChar w:fldCharType="begin"/>
      </w:r>
      <w:r>
        <w:rPr>
          <w:noProof/>
        </w:rPr>
        <w:instrText xml:space="preserve"> PAGEREF _Toc33713637 \h </w:instrText>
      </w:r>
      <w:r>
        <w:rPr>
          <w:noProof/>
        </w:rPr>
      </w:r>
      <w:r>
        <w:rPr>
          <w:noProof/>
        </w:rPr>
        <w:fldChar w:fldCharType="separate"/>
      </w:r>
      <w:r>
        <w:rPr>
          <w:noProof/>
        </w:rPr>
        <w:t>9</w:t>
      </w:r>
      <w:r>
        <w:rPr>
          <w:noProof/>
        </w:rPr>
        <w:fldChar w:fldCharType="end"/>
      </w:r>
    </w:p>
    <w:p w14:paraId="29DAB26C" w14:textId="77777777" w:rsidR="007C39AF" w:rsidRPr="00E23353" w:rsidRDefault="002851F1">
      <w:pPr>
        <w:pStyle w:val="Sisluet1"/>
        <w:rPr>
          <w:rFonts w:ascii="Calibri" w:hAnsi="Calibri"/>
          <w:caps w:val="0"/>
          <w:noProof/>
          <w:sz w:val="22"/>
          <w:szCs w:val="22"/>
        </w:rPr>
      </w:pPr>
      <w:r>
        <w:fldChar w:fldCharType="end"/>
      </w:r>
    </w:p>
    <w:p w14:paraId="45FB9CBF" w14:textId="77777777" w:rsidR="002E5045" w:rsidRPr="00DE5199" w:rsidRDefault="002E5045" w:rsidP="0095557B">
      <w:pPr>
        <w:jc w:val="center"/>
      </w:pPr>
    </w:p>
    <w:p w14:paraId="60B9181D" w14:textId="77777777" w:rsidR="002E5045" w:rsidRPr="00DE5199" w:rsidRDefault="002E5045" w:rsidP="0095557B">
      <w:pPr>
        <w:jc w:val="center"/>
      </w:pPr>
    </w:p>
    <w:p w14:paraId="37DEEA60" w14:textId="77777777" w:rsidR="000C034F" w:rsidRPr="00DE5199" w:rsidRDefault="002E5045" w:rsidP="002851F1">
      <w:pPr>
        <w:pStyle w:val="Otsikko1"/>
      </w:pPr>
      <w:r>
        <w:br w:type="page"/>
      </w:r>
      <w:bookmarkStart w:id="0" w:name="_Toc392679016"/>
      <w:bookmarkStart w:id="1" w:name="_Toc33713628"/>
      <w:r w:rsidR="00371FB2">
        <w:lastRenderedPageBreak/>
        <w:t>markkinavalvonnan yleinen organisaatio ja infrastruktuuri</w:t>
      </w:r>
      <w:bookmarkEnd w:id="0"/>
      <w:bookmarkEnd w:id="1"/>
    </w:p>
    <w:p w14:paraId="7DD2368B" w14:textId="77777777" w:rsidR="000E5A7C" w:rsidRDefault="005F5AD0" w:rsidP="007A650F">
      <w:pPr>
        <w:pStyle w:val="Otsikko2"/>
        <w:tabs>
          <w:tab w:val="clear" w:pos="2280"/>
        </w:tabs>
        <w:ind w:left="709" w:hanging="709"/>
      </w:pPr>
      <w:bookmarkStart w:id="2" w:name="_Toc386550854"/>
      <w:bookmarkStart w:id="3" w:name="_Toc392679017"/>
      <w:bookmarkStart w:id="4" w:name="_Toc33713629"/>
      <w:bookmarkEnd w:id="2"/>
      <w:r>
        <w:t>Kansalliset markkinavalvontaviranomaiset</w:t>
      </w:r>
      <w:r w:rsidR="003C5B83">
        <w:t xml:space="preserve"> ja vastuualueet</w:t>
      </w:r>
      <w:bookmarkEnd w:id="3"/>
      <w:bookmarkEnd w:id="4"/>
    </w:p>
    <w:p w14:paraId="04837241" w14:textId="77777777" w:rsidR="007A650F" w:rsidRPr="00B25F75" w:rsidRDefault="007A650F" w:rsidP="002851F1">
      <w:pPr>
        <w:pStyle w:val="Text2"/>
        <w:tabs>
          <w:tab w:val="clear" w:pos="2302"/>
        </w:tabs>
        <w:ind w:left="1418"/>
        <w:rPr>
          <w:rFonts w:cs="Calibri"/>
          <w:sz w:val="22"/>
          <w:szCs w:val="22"/>
        </w:rPr>
      </w:pPr>
      <w:r w:rsidRPr="00B25F75">
        <w:rPr>
          <w:rFonts w:cs="Calibri"/>
          <w:sz w:val="22"/>
          <w:szCs w:val="22"/>
        </w:rPr>
        <w:t xml:space="preserve">Markkinavalvonta on Suomessa </w:t>
      </w:r>
      <w:proofErr w:type="spellStart"/>
      <w:r w:rsidRPr="00B25F75">
        <w:rPr>
          <w:rFonts w:cs="Calibri"/>
          <w:sz w:val="22"/>
          <w:szCs w:val="22"/>
        </w:rPr>
        <w:t>sektoroitunutta</w:t>
      </w:r>
      <w:proofErr w:type="spellEnd"/>
      <w:r w:rsidRPr="00B25F75">
        <w:rPr>
          <w:rFonts w:cs="Calibri"/>
          <w:sz w:val="22"/>
          <w:szCs w:val="22"/>
        </w:rPr>
        <w:t>. Lainsäädäntöä on usealla eri hallinnonalalla, ja valvontaviranomaisia on useita. Suomen markkinavalvontaviranomaiset toimivat seitsemällä eri hallinnonalalla. Markkinavalvontaviranomaiset vastuualueineen ovat (vastuuministeriö ilmoitettu suluissa):</w:t>
      </w:r>
    </w:p>
    <w:p w14:paraId="41C2CF8D" w14:textId="77777777" w:rsidR="007A650F" w:rsidRPr="00B25F75" w:rsidRDefault="00DE1837" w:rsidP="002851F1">
      <w:pPr>
        <w:pStyle w:val="Text2"/>
        <w:numPr>
          <w:ilvl w:val="0"/>
          <w:numId w:val="40"/>
        </w:numPr>
        <w:tabs>
          <w:tab w:val="clear" w:pos="2302"/>
        </w:tabs>
        <w:ind w:left="1418" w:hanging="357"/>
        <w:contextualSpacing/>
        <w:rPr>
          <w:sz w:val="22"/>
          <w:szCs w:val="22"/>
        </w:rPr>
      </w:pPr>
      <w:r>
        <w:rPr>
          <w:rFonts w:cs="Calibri"/>
          <w:b/>
          <w:sz w:val="22"/>
          <w:szCs w:val="22"/>
        </w:rPr>
        <w:t>Ruokavirasto</w:t>
      </w:r>
      <w:r w:rsidR="00B25F75" w:rsidRPr="00B25F75">
        <w:rPr>
          <w:rFonts w:cs="Calibri"/>
          <w:sz w:val="22"/>
          <w:szCs w:val="22"/>
        </w:rPr>
        <w:t xml:space="preserve"> (</w:t>
      </w:r>
      <w:r w:rsidR="0029165C">
        <w:rPr>
          <w:rFonts w:cs="Calibri"/>
          <w:sz w:val="22"/>
          <w:szCs w:val="22"/>
        </w:rPr>
        <w:t>m</w:t>
      </w:r>
      <w:r w:rsidR="00B25F75" w:rsidRPr="00B25F75">
        <w:rPr>
          <w:rFonts w:cs="Calibri"/>
          <w:sz w:val="22"/>
          <w:szCs w:val="22"/>
        </w:rPr>
        <w:t>aa- ja metsätalousministeriö)</w:t>
      </w:r>
    </w:p>
    <w:p w14:paraId="69A126F1" w14:textId="77777777" w:rsidR="00B25F75" w:rsidRDefault="00E448A2" w:rsidP="002851F1">
      <w:pPr>
        <w:pStyle w:val="Text2"/>
        <w:numPr>
          <w:ilvl w:val="1"/>
          <w:numId w:val="40"/>
        </w:numPr>
        <w:tabs>
          <w:tab w:val="clear" w:pos="2302"/>
        </w:tabs>
        <w:ind w:left="2552" w:hanging="357"/>
        <w:contextualSpacing/>
        <w:rPr>
          <w:sz w:val="22"/>
          <w:szCs w:val="22"/>
        </w:rPr>
      </w:pPr>
      <w:r>
        <w:rPr>
          <w:sz w:val="22"/>
          <w:szCs w:val="22"/>
        </w:rPr>
        <w:t>L</w:t>
      </w:r>
      <w:r w:rsidR="00B25F75" w:rsidRPr="00B25F75">
        <w:rPr>
          <w:sz w:val="22"/>
          <w:szCs w:val="22"/>
        </w:rPr>
        <w:t>annoitevalmisteet</w:t>
      </w:r>
    </w:p>
    <w:p w14:paraId="665FD9C5" w14:textId="77777777" w:rsidR="0029165C" w:rsidRPr="00B25F75" w:rsidRDefault="0029165C" w:rsidP="0029165C">
      <w:pPr>
        <w:pStyle w:val="Text2"/>
        <w:tabs>
          <w:tab w:val="clear" w:pos="2302"/>
        </w:tabs>
        <w:ind w:left="2127"/>
        <w:contextualSpacing/>
        <w:rPr>
          <w:sz w:val="22"/>
          <w:szCs w:val="22"/>
        </w:rPr>
      </w:pPr>
    </w:p>
    <w:p w14:paraId="06323BD4" w14:textId="77777777" w:rsidR="00B25F75" w:rsidRPr="00B25F75" w:rsidRDefault="00DE1837" w:rsidP="002851F1">
      <w:pPr>
        <w:pStyle w:val="Text2"/>
        <w:numPr>
          <w:ilvl w:val="0"/>
          <w:numId w:val="40"/>
        </w:numPr>
        <w:tabs>
          <w:tab w:val="clear" w:pos="2302"/>
        </w:tabs>
        <w:ind w:left="1418" w:hanging="357"/>
        <w:contextualSpacing/>
        <w:rPr>
          <w:sz w:val="22"/>
          <w:szCs w:val="22"/>
        </w:rPr>
      </w:pPr>
      <w:r>
        <w:rPr>
          <w:b/>
          <w:sz w:val="22"/>
          <w:szCs w:val="22"/>
        </w:rPr>
        <w:t>Liikenne- ja viestintävirasto, Traficom</w:t>
      </w:r>
      <w:r w:rsidR="0029165C">
        <w:rPr>
          <w:sz w:val="22"/>
          <w:szCs w:val="22"/>
        </w:rPr>
        <w:t xml:space="preserve"> (l</w:t>
      </w:r>
      <w:r w:rsidR="00B25F75" w:rsidRPr="00B25F75">
        <w:rPr>
          <w:sz w:val="22"/>
          <w:szCs w:val="22"/>
        </w:rPr>
        <w:t>iikenne- ja viestintäministeriö</w:t>
      </w:r>
      <w:r w:rsidR="00082EE5">
        <w:rPr>
          <w:sz w:val="22"/>
          <w:szCs w:val="22"/>
        </w:rPr>
        <w:t>, ympäristöministeriö</w:t>
      </w:r>
      <w:r w:rsidR="00B25F75" w:rsidRPr="00B25F75">
        <w:rPr>
          <w:sz w:val="22"/>
          <w:szCs w:val="22"/>
        </w:rPr>
        <w:t>)</w:t>
      </w:r>
    </w:p>
    <w:p w14:paraId="502DDEA6" w14:textId="77777777" w:rsidR="00B25F75" w:rsidRDefault="00B25F75" w:rsidP="002851F1">
      <w:pPr>
        <w:pStyle w:val="Text2"/>
        <w:numPr>
          <w:ilvl w:val="1"/>
          <w:numId w:val="40"/>
        </w:numPr>
        <w:tabs>
          <w:tab w:val="clear" w:pos="2302"/>
        </w:tabs>
        <w:ind w:left="2552"/>
        <w:contextualSpacing/>
        <w:rPr>
          <w:sz w:val="22"/>
        </w:rPr>
      </w:pPr>
      <w:r>
        <w:rPr>
          <w:sz w:val="22"/>
        </w:rPr>
        <w:t>Ajoneuvot ja erilliset tekniset yksiköt,</w:t>
      </w:r>
      <w:r w:rsidR="00082EE5">
        <w:rPr>
          <w:sz w:val="22"/>
        </w:rPr>
        <w:t xml:space="preserve"> renkaiden merkinnät,</w:t>
      </w:r>
      <w:r>
        <w:rPr>
          <w:sz w:val="22"/>
        </w:rPr>
        <w:t xml:space="preserve"> h</w:t>
      </w:r>
      <w:r w:rsidRPr="00B25F75">
        <w:rPr>
          <w:sz w:val="22"/>
        </w:rPr>
        <w:t>uviveneet (ml. vesiskootterit)</w:t>
      </w:r>
      <w:r>
        <w:rPr>
          <w:sz w:val="22"/>
        </w:rPr>
        <w:t>, laivavarusteet, laskuvarjot, riippuliitimet</w:t>
      </w:r>
      <w:r w:rsidR="0029165C">
        <w:rPr>
          <w:sz w:val="22"/>
        </w:rPr>
        <w:t xml:space="preserve"> ja</w:t>
      </w:r>
      <w:r>
        <w:rPr>
          <w:sz w:val="22"/>
        </w:rPr>
        <w:t xml:space="preserve"> ultrakevyet lentokoneet</w:t>
      </w:r>
      <w:r w:rsidR="00082EE5">
        <w:rPr>
          <w:sz w:val="22"/>
        </w:rPr>
        <w:t>, liikkuvien työkoneiden päästöt</w:t>
      </w:r>
    </w:p>
    <w:p w14:paraId="0AC36DB6" w14:textId="77777777" w:rsidR="00DE1837" w:rsidRDefault="00DE1837" w:rsidP="002851F1">
      <w:pPr>
        <w:pStyle w:val="Text2"/>
        <w:numPr>
          <w:ilvl w:val="1"/>
          <w:numId w:val="40"/>
        </w:numPr>
        <w:tabs>
          <w:tab w:val="clear" w:pos="2302"/>
        </w:tabs>
        <w:ind w:left="2552"/>
        <w:contextualSpacing/>
        <w:rPr>
          <w:sz w:val="22"/>
        </w:rPr>
      </w:pPr>
      <w:r>
        <w:rPr>
          <w:sz w:val="22"/>
        </w:rPr>
        <w:t>Radiolaitteet</w:t>
      </w:r>
    </w:p>
    <w:p w14:paraId="065485B6" w14:textId="77777777" w:rsidR="0029165C" w:rsidRDefault="0029165C" w:rsidP="0029165C">
      <w:pPr>
        <w:pStyle w:val="Text2"/>
        <w:tabs>
          <w:tab w:val="clear" w:pos="2302"/>
        </w:tabs>
        <w:ind w:left="2127"/>
        <w:contextualSpacing/>
        <w:rPr>
          <w:sz w:val="22"/>
        </w:rPr>
      </w:pPr>
    </w:p>
    <w:p w14:paraId="739A3922" w14:textId="77777777" w:rsidR="00B25F75" w:rsidRDefault="0029165C" w:rsidP="002851F1">
      <w:pPr>
        <w:pStyle w:val="Text2"/>
        <w:numPr>
          <w:ilvl w:val="0"/>
          <w:numId w:val="40"/>
        </w:numPr>
        <w:tabs>
          <w:tab w:val="clear" w:pos="2302"/>
        </w:tabs>
        <w:ind w:left="1418"/>
        <w:contextualSpacing/>
        <w:rPr>
          <w:sz w:val="22"/>
        </w:rPr>
      </w:pPr>
      <w:r w:rsidRPr="00532B3A">
        <w:rPr>
          <w:b/>
          <w:sz w:val="22"/>
        </w:rPr>
        <w:t>Poliisihallitus</w:t>
      </w:r>
      <w:r>
        <w:rPr>
          <w:sz w:val="22"/>
        </w:rPr>
        <w:t xml:space="preserve"> (s</w:t>
      </w:r>
      <w:r w:rsidR="00B25F75">
        <w:rPr>
          <w:sz w:val="22"/>
        </w:rPr>
        <w:t>isäministeriö)</w:t>
      </w:r>
    </w:p>
    <w:p w14:paraId="7E8EB905" w14:textId="77777777" w:rsidR="00B25F75" w:rsidRDefault="00B25F75" w:rsidP="002851F1">
      <w:pPr>
        <w:pStyle w:val="Text2"/>
        <w:numPr>
          <w:ilvl w:val="1"/>
          <w:numId w:val="40"/>
        </w:numPr>
        <w:tabs>
          <w:tab w:val="clear" w:pos="2302"/>
        </w:tabs>
        <w:ind w:left="2552"/>
        <w:contextualSpacing/>
        <w:rPr>
          <w:sz w:val="22"/>
        </w:rPr>
      </w:pPr>
      <w:r>
        <w:rPr>
          <w:sz w:val="22"/>
        </w:rPr>
        <w:t>Aseet ja ampumatarvikkeet</w:t>
      </w:r>
    </w:p>
    <w:p w14:paraId="445CF5C5" w14:textId="77777777" w:rsidR="0029165C" w:rsidRDefault="0029165C" w:rsidP="0029165C">
      <w:pPr>
        <w:pStyle w:val="Text2"/>
        <w:tabs>
          <w:tab w:val="clear" w:pos="2302"/>
        </w:tabs>
        <w:ind w:left="2282"/>
        <w:contextualSpacing/>
        <w:rPr>
          <w:sz w:val="22"/>
        </w:rPr>
      </w:pPr>
    </w:p>
    <w:p w14:paraId="3D4D5145" w14:textId="0CD5EBC7" w:rsidR="00B25F75" w:rsidRDefault="00E13EDD" w:rsidP="002851F1">
      <w:pPr>
        <w:pStyle w:val="Text2"/>
        <w:numPr>
          <w:ilvl w:val="0"/>
          <w:numId w:val="40"/>
        </w:numPr>
        <w:tabs>
          <w:tab w:val="clear" w:pos="2302"/>
        </w:tabs>
        <w:ind w:left="1418"/>
        <w:contextualSpacing/>
        <w:rPr>
          <w:sz w:val="22"/>
        </w:rPr>
      </w:pPr>
      <w:r w:rsidRPr="00E13EDD">
        <w:rPr>
          <w:b/>
          <w:sz w:val="22"/>
        </w:rPr>
        <w:t>Lääkealan turvallisuus- ja kehittämiskeskus</w:t>
      </w:r>
      <w:r>
        <w:rPr>
          <w:b/>
          <w:sz w:val="22"/>
        </w:rPr>
        <w:t xml:space="preserve">, </w:t>
      </w:r>
      <w:proofErr w:type="spellStart"/>
      <w:proofErr w:type="gramStart"/>
      <w:r>
        <w:rPr>
          <w:b/>
          <w:sz w:val="22"/>
        </w:rPr>
        <w:t>Fimea</w:t>
      </w:r>
      <w:proofErr w:type="spellEnd"/>
      <w:r w:rsidRPr="00E13EDD">
        <w:rPr>
          <w:b/>
          <w:sz w:val="22"/>
        </w:rPr>
        <w:t xml:space="preserve"> </w:t>
      </w:r>
      <w:r w:rsidR="0029165C">
        <w:rPr>
          <w:sz w:val="22"/>
        </w:rPr>
        <w:t xml:space="preserve"> (</w:t>
      </w:r>
      <w:proofErr w:type="spellStart"/>
      <w:proofErr w:type="gramEnd"/>
      <w:r w:rsidR="005D3FB2">
        <w:rPr>
          <w:sz w:val="22"/>
        </w:rPr>
        <w:t>s</w:t>
      </w:r>
      <w:r w:rsidR="0029165C">
        <w:rPr>
          <w:sz w:val="22"/>
        </w:rPr>
        <w:t>osiaali</w:t>
      </w:r>
      <w:proofErr w:type="spellEnd"/>
      <w:r w:rsidR="0029165C">
        <w:rPr>
          <w:sz w:val="22"/>
        </w:rPr>
        <w:t>- ja terveysministeriö)</w:t>
      </w:r>
    </w:p>
    <w:p w14:paraId="5A33A193" w14:textId="77777777" w:rsidR="0029165C" w:rsidRDefault="00E448A2" w:rsidP="002851F1">
      <w:pPr>
        <w:pStyle w:val="Text2"/>
        <w:numPr>
          <w:ilvl w:val="1"/>
          <w:numId w:val="40"/>
        </w:numPr>
        <w:tabs>
          <w:tab w:val="clear" w:pos="2302"/>
        </w:tabs>
        <w:ind w:left="2552"/>
        <w:contextualSpacing/>
        <w:rPr>
          <w:sz w:val="22"/>
        </w:rPr>
      </w:pPr>
      <w:r>
        <w:rPr>
          <w:sz w:val="22"/>
        </w:rPr>
        <w:t xml:space="preserve">Lääkinnälliset laitteet, in </w:t>
      </w:r>
      <w:proofErr w:type="spellStart"/>
      <w:r>
        <w:rPr>
          <w:sz w:val="22"/>
        </w:rPr>
        <w:t>vitro</w:t>
      </w:r>
      <w:proofErr w:type="spellEnd"/>
      <w:r>
        <w:rPr>
          <w:sz w:val="22"/>
        </w:rPr>
        <w:t xml:space="preserve"> –diagnostiset laitteet</w:t>
      </w:r>
    </w:p>
    <w:p w14:paraId="09CA789F" w14:textId="77777777" w:rsidR="0029165C" w:rsidRDefault="0029165C" w:rsidP="0029165C">
      <w:pPr>
        <w:pStyle w:val="Text2"/>
        <w:tabs>
          <w:tab w:val="clear" w:pos="2302"/>
        </w:tabs>
        <w:ind w:left="2282"/>
        <w:contextualSpacing/>
        <w:rPr>
          <w:sz w:val="22"/>
        </w:rPr>
      </w:pPr>
    </w:p>
    <w:p w14:paraId="378214AC" w14:textId="77777777" w:rsidR="0029165C" w:rsidRPr="00532B3A" w:rsidRDefault="0029165C" w:rsidP="002851F1">
      <w:pPr>
        <w:pStyle w:val="Text2"/>
        <w:numPr>
          <w:ilvl w:val="0"/>
          <w:numId w:val="40"/>
        </w:numPr>
        <w:tabs>
          <w:tab w:val="clear" w:pos="2302"/>
        </w:tabs>
        <w:ind w:left="1418"/>
        <w:contextualSpacing/>
        <w:rPr>
          <w:b/>
          <w:sz w:val="22"/>
        </w:rPr>
      </w:pPr>
      <w:proofErr w:type="spellStart"/>
      <w:r w:rsidRPr="00532B3A">
        <w:rPr>
          <w:b/>
          <w:sz w:val="22"/>
        </w:rPr>
        <w:t>Sosiaali</w:t>
      </w:r>
      <w:proofErr w:type="spellEnd"/>
      <w:r w:rsidRPr="00532B3A">
        <w:rPr>
          <w:b/>
          <w:sz w:val="22"/>
        </w:rPr>
        <w:t xml:space="preserve">- ja terveysministeriön </w:t>
      </w:r>
      <w:r w:rsidR="0095344F">
        <w:rPr>
          <w:b/>
          <w:sz w:val="22"/>
        </w:rPr>
        <w:t>työ- ja tasa-arvo-</w:t>
      </w:r>
      <w:r w:rsidR="0095344F" w:rsidRPr="00532B3A">
        <w:rPr>
          <w:b/>
          <w:sz w:val="22"/>
        </w:rPr>
        <w:t xml:space="preserve">osasto </w:t>
      </w:r>
      <w:r w:rsidRPr="00532B3A">
        <w:rPr>
          <w:b/>
          <w:sz w:val="22"/>
        </w:rPr>
        <w:t>ja aluehallintovirastojen työsuojelun vastuualueet</w:t>
      </w:r>
    </w:p>
    <w:p w14:paraId="145FEB12" w14:textId="77777777" w:rsidR="0029165C" w:rsidRDefault="0029165C" w:rsidP="002851F1">
      <w:pPr>
        <w:pStyle w:val="Text2"/>
        <w:numPr>
          <w:ilvl w:val="1"/>
          <w:numId w:val="40"/>
        </w:numPr>
        <w:tabs>
          <w:tab w:val="clear" w:pos="2302"/>
        </w:tabs>
        <w:ind w:left="2552" w:hanging="284"/>
        <w:contextualSpacing/>
        <w:rPr>
          <w:sz w:val="22"/>
        </w:rPr>
      </w:pPr>
      <w:r>
        <w:rPr>
          <w:sz w:val="22"/>
        </w:rPr>
        <w:t>Ammattikäyttöön tarkoitetut henkilönsuojaimet, köysiradat, ammattikäyttöön tarkoitetut koneet ja työssä käytettävät koneet</w:t>
      </w:r>
    </w:p>
    <w:p w14:paraId="3EC9CA2F" w14:textId="77777777" w:rsidR="00532B3A" w:rsidRDefault="00532B3A" w:rsidP="00532B3A">
      <w:pPr>
        <w:pStyle w:val="Text2"/>
        <w:tabs>
          <w:tab w:val="clear" w:pos="2302"/>
        </w:tabs>
        <w:ind w:left="2127"/>
        <w:contextualSpacing/>
        <w:rPr>
          <w:sz w:val="22"/>
        </w:rPr>
      </w:pPr>
    </w:p>
    <w:p w14:paraId="5E5E5333" w14:textId="77777777" w:rsidR="0029165C" w:rsidRDefault="0029165C" w:rsidP="002851F1">
      <w:pPr>
        <w:pStyle w:val="Text2"/>
        <w:numPr>
          <w:ilvl w:val="0"/>
          <w:numId w:val="40"/>
        </w:numPr>
        <w:tabs>
          <w:tab w:val="clear" w:pos="2302"/>
        </w:tabs>
        <w:ind w:left="1418"/>
        <w:contextualSpacing/>
        <w:rPr>
          <w:sz w:val="22"/>
        </w:rPr>
      </w:pPr>
      <w:r w:rsidRPr="00532B3A">
        <w:rPr>
          <w:b/>
          <w:sz w:val="22"/>
        </w:rPr>
        <w:t>Säteilyturvakeskus, STUK</w:t>
      </w:r>
      <w:r>
        <w:rPr>
          <w:sz w:val="22"/>
        </w:rPr>
        <w:t xml:space="preserve"> (</w:t>
      </w:r>
      <w:proofErr w:type="spellStart"/>
      <w:r>
        <w:rPr>
          <w:sz w:val="22"/>
        </w:rPr>
        <w:t>sosiaali</w:t>
      </w:r>
      <w:proofErr w:type="spellEnd"/>
      <w:r>
        <w:rPr>
          <w:sz w:val="22"/>
        </w:rPr>
        <w:t>- ja terveysministeriö)</w:t>
      </w:r>
    </w:p>
    <w:p w14:paraId="63AABB78" w14:textId="05C2F8C7" w:rsidR="0029165C" w:rsidRDefault="0029165C" w:rsidP="002851F1">
      <w:pPr>
        <w:pStyle w:val="Text2"/>
        <w:numPr>
          <w:ilvl w:val="1"/>
          <w:numId w:val="40"/>
        </w:numPr>
        <w:tabs>
          <w:tab w:val="clear" w:pos="2302"/>
        </w:tabs>
        <w:ind w:left="2552" w:hanging="284"/>
        <w:contextualSpacing/>
        <w:rPr>
          <w:sz w:val="22"/>
        </w:rPr>
      </w:pPr>
      <w:r>
        <w:rPr>
          <w:sz w:val="22"/>
        </w:rPr>
        <w:t>Säteily, sähkömagneettiset kentät, ultraviolettisäteily, laser,</w:t>
      </w:r>
      <w:r w:rsidR="00E13EDD">
        <w:rPr>
          <w:sz w:val="22"/>
        </w:rPr>
        <w:t xml:space="preserve"> ultraääni</w:t>
      </w:r>
      <w:r>
        <w:rPr>
          <w:sz w:val="22"/>
        </w:rPr>
        <w:t xml:space="preserve"> säteily ja radioaktiivisuus tavaroissa</w:t>
      </w:r>
    </w:p>
    <w:p w14:paraId="27E6D2AC" w14:textId="77777777" w:rsidR="00532B3A" w:rsidRDefault="00532B3A" w:rsidP="00532B3A">
      <w:pPr>
        <w:pStyle w:val="Text2"/>
        <w:tabs>
          <w:tab w:val="clear" w:pos="2302"/>
        </w:tabs>
        <w:ind w:left="2127"/>
        <w:contextualSpacing/>
        <w:rPr>
          <w:sz w:val="22"/>
        </w:rPr>
      </w:pPr>
    </w:p>
    <w:p w14:paraId="5D2CCF6C" w14:textId="77777777" w:rsidR="0029165C" w:rsidRDefault="0029165C" w:rsidP="002851F1">
      <w:pPr>
        <w:pStyle w:val="Text2"/>
        <w:numPr>
          <w:ilvl w:val="0"/>
          <w:numId w:val="40"/>
        </w:numPr>
        <w:tabs>
          <w:tab w:val="clear" w:pos="2302"/>
        </w:tabs>
        <w:ind w:left="1418"/>
        <w:contextualSpacing/>
        <w:rPr>
          <w:sz w:val="22"/>
        </w:rPr>
      </w:pPr>
      <w:r w:rsidRPr="00532B3A">
        <w:rPr>
          <w:b/>
          <w:sz w:val="22"/>
        </w:rPr>
        <w:t>Suomen ympäristökeskus, SYKE</w:t>
      </w:r>
      <w:r>
        <w:rPr>
          <w:sz w:val="22"/>
        </w:rPr>
        <w:t xml:space="preserve"> (ympäristöministeriö)</w:t>
      </w:r>
    </w:p>
    <w:p w14:paraId="1B1E5241" w14:textId="77777777" w:rsidR="0029165C" w:rsidRDefault="0029165C" w:rsidP="002851F1">
      <w:pPr>
        <w:pStyle w:val="Text2"/>
        <w:numPr>
          <w:ilvl w:val="1"/>
          <w:numId w:val="40"/>
        </w:numPr>
        <w:tabs>
          <w:tab w:val="clear" w:pos="2302"/>
        </w:tabs>
        <w:ind w:left="2552" w:hanging="346"/>
        <w:contextualSpacing/>
        <w:rPr>
          <w:sz w:val="22"/>
        </w:rPr>
      </w:pPr>
      <w:r>
        <w:rPr>
          <w:sz w:val="22"/>
        </w:rPr>
        <w:t>Kylmä- ja ilmastointilaitteet, muut fluorattuja kasvihuonekaasuja sisältävät laitteet</w:t>
      </w:r>
    </w:p>
    <w:p w14:paraId="7546504A" w14:textId="77777777" w:rsidR="00532B3A" w:rsidRDefault="00532B3A" w:rsidP="00532B3A">
      <w:pPr>
        <w:pStyle w:val="Text2"/>
        <w:tabs>
          <w:tab w:val="clear" w:pos="2302"/>
        </w:tabs>
        <w:ind w:left="2268"/>
        <w:contextualSpacing/>
        <w:rPr>
          <w:sz w:val="22"/>
        </w:rPr>
      </w:pPr>
    </w:p>
    <w:p w14:paraId="25832E6E" w14:textId="77777777" w:rsidR="00532B3A" w:rsidRDefault="00532B3A" w:rsidP="00532B3A">
      <w:pPr>
        <w:pStyle w:val="Text2"/>
        <w:tabs>
          <w:tab w:val="clear" w:pos="2302"/>
        </w:tabs>
        <w:ind w:left="2282"/>
        <w:contextualSpacing/>
        <w:rPr>
          <w:sz w:val="22"/>
        </w:rPr>
      </w:pPr>
    </w:p>
    <w:p w14:paraId="3498FC11" w14:textId="77777777" w:rsidR="004825D4" w:rsidRDefault="004825D4" w:rsidP="002851F1">
      <w:pPr>
        <w:pStyle w:val="Text2"/>
        <w:numPr>
          <w:ilvl w:val="0"/>
          <w:numId w:val="40"/>
        </w:numPr>
        <w:tabs>
          <w:tab w:val="clear" w:pos="2302"/>
        </w:tabs>
        <w:ind w:left="1418"/>
        <w:contextualSpacing/>
        <w:rPr>
          <w:sz w:val="22"/>
        </w:rPr>
      </w:pPr>
      <w:r w:rsidRPr="00532B3A">
        <w:rPr>
          <w:b/>
          <w:sz w:val="22"/>
        </w:rPr>
        <w:t>Turvallisuus- ja kemikaalivirasto, Tukes</w:t>
      </w:r>
      <w:r>
        <w:rPr>
          <w:sz w:val="22"/>
        </w:rPr>
        <w:t xml:space="preserve"> (työ- ja elinkeinoministeriö</w:t>
      </w:r>
      <w:r w:rsidR="005F5AD0">
        <w:rPr>
          <w:sz w:val="22"/>
        </w:rPr>
        <w:t xml:space="preserve"> sekä </w:t>
      </w:r>
      <w:proofErr w:type="spellStart"/>
      <w:r>
        <w:rPr>
          <w:sz w:val="22"/>
        </w:rPr>
        <w:t>sosiaali</w:t>
      </w:r>
      <w:proofErr w:type="spellEnd"/>
      <w:r>
        <w:rPr>
          <w:sz w:val="22"/>
        </w:rPr>
        <w:t>- ja terveysministeriö, ympäristöministeriö, maa- ja metsätalousministeriö, sisäministeriö ja liikenne- ja viestintäministeriö)</w:t>
      </w:r>
    </w:p>
    <w:p w14:paraId="6C0AE44D" w14:textId="77777777" w:rsidR="004825D4" w:rsidRDefault="004825D4" w:rsidP="002851F1">
      <w:pPr>
        <w:pStyle w:val="Text2"/>
        <w:numPr>
          <w:ilvl w:val="1"/>
          <w:numId w:val="40"/>
        </w:numPr>
        <w:tabs>
          <w:tab w:val="clear" w:pos="2302"/>
        </w:tabs>
        <w:ind w:left="2552"/>
        <w:contextualSpacing/>
        <w:rPr>
          <w:sz w:val="22"/>
        </w:rPr>
      </w:pPr>
      <w:r>
        <w:rPr>
          <w:sz w:val="22"/>
        </w:rPr>
        <w:t xml:space="preserve">Akut ja paristot, aerosolit, </w:t>
      </w:r>
      <w:proofErr w:type="spellStart"/>
      <w:r>
        <w:rPr>
          <w:sz w:val="22"/>
        </w:rPr>
        <w:t>biosidit</w:t>
      </w:r>
      <w:proofErr w:type="spellEnd"/>
      <w:r>
        <w:rPr>
          <w:sz w:val="22"/>
        </w:rPr>
        <w:t xml:space="preserve">, </w:t>
      </w:r>
      <w:r w:rsidR="00532B3A">
        <w:rPr>
          <w:sz w:val="22"/>
        </w:rPr>
        <w:t xml:space="preserve">elintarvikkeita jäljittelevät tuotteet, </w:t>
      </w:r>
      <w:r>
        <w:rPr>
          <w:sz w:val="22"/>
        </w:rPr>
        <w:t xml:space="preserve">energiaan liittyvien tuotteiden ekologinen suunnittelu ja energiamerkintä, </w:t>
      </w:r>
      <w:r w:rsidR="00532B3A">
        <w:rPr>
          <w:sz w:val="22"/>
        </w:rPr>
        <w:t xml:space="preserve">haihtuvat orgaaniset yhdisteet, </w:t>
      </w:r>
      <w:r>
        <w:rPr>
          <w:sz w:val="22"/>
        </w:rPr>
        <w:t xml:space="preserve">hissit (ml. liukuportaat), huonekalut, jalometallituotteet, kaasulaitteet, kemikaalit, kemikaalit tavaroissa, </w:t>
      </w:r>
      <w:r w:rsidR="00532B3A">
        <w:rPr>
          <w:sz w:val="22"/>
        </w:rPr>
        <w:t xml:space="preserve">koneiden melupäästöt, </w:t>
      </w:r>
      <w:r>
        <w:rPr>
          <w:sz w:val="22"/>
        </w:rPr>
        <w:t xml:space="preserve">kosmetiikka, kulutustavarat, kuluttajapalvelut, </w:t>
      </w:r>
      <w:r w:rsidR="00532B3A">
        <w:rPr>
          <w:sz w:val="22"/>
        </w:rPr>
        <w:t xml:space="preserve">kuluttajien käyttöön tarkoitetut henkilönsuojaimet, kuluttajien käyttöön tarkoitetut koneet, </w:t>
      </w:r>
      <w:r>
        <w:rPr>
          <w:sz w:val="22"/>
        </w:rPr>
        <w:t xml:space="preserve">lastenhoitotarvikkeet, </w:t>
      </w:r>
      <w:r w:rsidR="00532B3A">
        <w:rPr>
          <w:sz w:val="22"/>
        </w:rPr>
        <w:t>lelut, mittauslaitteet,</w:t>
      </w:r>
      <w:r w:rsidR="000722A2">
        <w:rPr>
          <w:sz w:val="22"/>
        </w:rPr>
        <w:t xml:space="preserve"> painelaitteet,</w:t>
      </w:r>
      <w:r w:rsidR="00532B3A">
        <w:rPr>
          <w:sz w:val="22"/>
        </w:rPr>
        <w:t xml:space="preserve"> </w:t>
      </w:r>
      <w:r w:rsidR="005D0FBB">
        <w:rPr>
          <w:sz w:val="22"/>
        </w:rPr>
        <w:t xml:space="preserve">kuljetettavat </w:t>
      </w:r>
      <w:r w:rsidR="00532B3A">
        <w:rPr>
          <w:sz w:val="22"/>
        </w:rPr>
        <w:t xml:space="preserve">painelaitteet, pakkaukset ja pakkausjäte, pelastustoimen tarvikkeet ja laitteet, </w:t>
      </w:r>
      <w:r>
        <w:rPr>
          <w:sz w:val="22"/>
        </w:rPr>
        <w:t xml:space="preserve">pesuaineet, </w:t>
      </w:r>
      <w:r w:rsidR="00532B3A">
        <w:rPr>
          <w:sz w:val="22"/>
        </w:rPr>
        <w:t xml:space="preserve">pyrotekniset tuotteet, pysyvät orgaaniset yhdisteet, </w:t>
      </w:r>
      <w:r>
        <w:rPr>
          <w:sz w:val="22"/>
        </w:rPr>
        <w:t xml:space="preserve">rakennustuotteet, savukkeensytyttimet, siviiliräjähteet, </w:t>
      </w:r>
      <w:r>
        <w:rPr>
          <w:sz w:val="22"/>
        </w:rPr>
        <w:lastRenderedPageBreak/>
        <w:t xml:space="preserve">sähkölaitteet, </w:t>
      </w:r>
      <w:r w:rsidR="00532B3A">
        <w:rPr>
          <w:sz w:val="22"/>
        </w:rPr>
        <w:t xml:space="preserve">tekstiilit, vaarallisten aineiden kuljetussäiliöt ja </w:t>
      </w:r>
      <w:r w:rsidR="005D0FBB">
        <w:rPr>
          <w:sz w:val="22"/>
        </w:rPr>
        <w:t>-</w:t>
      </w:r>
      <w:r w:rsidR="00532B3A">
        <w:rPr>
          <w:sz w:val="22"/>
        </w:rPr>
        <w:t xml:space="preserve">pakkaukset ja </w:t>
      </w:r>
      <w:r w:rsidR="005D0FBB">
        <w:rPr>
          <w:sz w:val="22"/>
        </w:rPr>
        <w:t>vaarallisten kemikaalien varastosäiliöt.</w:t>
      </w:r>
    </w:p>
    <w:p w14:paraId="78E54CCA" w14:textId="77777777" w:rsidR="00532B3A" w:rsidRDefault="00532B3A" w:rsidP="00532B3A">
      <w:pPr>
        <w:pStyle w:val="Text2"/>
        <w:tabs>
          <w:tab w:val="clear" w:pos="2302"/>
        </w:tabs>
        <w:ind w:left="2282"/>
        <w:contextualSpacing/>
        <w:rPr>
          <w:sz w:val="22"/>
        </w:rPr>
      </w:pPr>
    </w:p>
    <w:p w14:paraId="0FBFD41A" w14:textId="77777777" w:rsidR="00532B3A" w:rsidRDefault="00532B3A" w:rsidP="00532B3A">
      <w:pPr>
        <w:pStyle w:val="Text2"/>
        <w:tabs>
          <w:tab w:val="clear" w:pos="2302"/>
        </w:tabs>
        <w:ind w:left="2282"/>
        <w:contextualSpacing/>
        <w:rPr>
          <w:sz w:val="22"/>
        </w:rPr>
      </w:pPr>
    </w:p>
    <w:p w14:paraId="4D38A084" w14:textId="77777777" w:rsidR="00532B3A" w:rsidRDefault="00532B3A" w:rsidP="002851F1">
      <w:pPr>
        <w:pStyle w:val="Text2"/>
        <w:numPr>
          <w:ilvl w:val="0"/>
          <w:numId w:val="40"/>
        </w:numPr>
        <w:tabs>
          <w:tab w:val="clear" w:pos="2302"/>
        </w:tabs>
        <w:ind w:left="1418"/>
        <w:contextualSpacing/>
        <w:rPr>
          <w:sz w:val="22"/>
        </w:rPr>
      </w:pPr>
      <w:r w:rsidRPr="00532B3A">
        <w:rPr>
          <w:b/>
          <w:sz w:val="22"/>
        </w:rPr>
        <w:t>Kilpailu- ja kuluttajavirasto, KKV</w:t>
      </w:r>
      <w:r>
        <w:rPr>
          <w:sz w:val="22"/>
        </w:rPr>
        <w:t xml:space="preserve"> (työ- ja elinkeinoministeriö)</w:t>
      </w:r>
    </w:p>
    <w:p w14:paraId="1072D534" w14:textId="77777777" w:rsidR="00532B3A" w:rsidRPr="00B25F75" w:rsidRDefault="00532B3A" w:rsidP="002851F1">
      <w:pPr>
        <w:pStyle w:val="Text2"/>
        <w:numPr>
          <w:ilvl w:val="1"/>
          <w:numId w:val="40"/>
        </w:numPr>
        <w:tabs>
          <w:tab w:val="clear" w:pos="2302"/>
        </w:tabs>
        <w:ind w:left="2552"/>
        <w:contextualSpacing/>
        <w:rPr>
          <w:sz w:val="22"/>
        </w:rPr>
      </w:pPr>
      <w:r>
        <w:rPr>
          <w:sz w:val="22"/>
        </w:rPr>
        <w:t>Tekstiilimerkinnät</w:t>
      </w:r>
    </w:p>
    <w:p w14:paraId="2069D8ED" w14:textId="77777777" w:rsidR="00DE1837" w:rsidRPr="00DE1837" w:rsidRDefault="00DE1837" w:rsidP="00DE1837">
      <w:pPr>
        <w:pStyle w:val="Text2"/>
        <w:tabs>
          <w:tab w:val="clear" w:pos="2302"/>
        </w:tabs>
        <w:ind w:left="1418"/>
        <w:contextualSpacing/>
        <w:rPr>
          <w:sz w:val="22"/>
        </w:rPr>
      </w:pPr>
    </w:p>
    <w:p w14:paraId="17B3B5F2" w14:textId="77777777" w:rsidR="00DE1837" w:rsidRDefault="00DE1837" w:rsidP="00DE1837">
      <w:pPr>
        <w:pStyle w:val="Text2"/>
        <w:numPr>
          <w:ilvl w:val="0"/>
          <w:numId w:val="40"/>
        </w:numPr>
        <w:tabs>
          <w:tab w:val="clear" w:pos="2302"/>
        </w:tabs>
        <w:ind w:left="1418"/>
        <w:contextualSpacing/>
        <w:rPr>
          <w:sz w:val="22"/>
        </w:rPr>
      </w:pPr>
      <w:r w:rsidRPr="00532B3A">
        <w:rPr>
          <w:b/>
          <w:sz w:val="22"/>
        </w:rPr>
        <w:t>Tulli</w:t>
      </w:r>
      <w:r>
        <w:rPr>
          <w:sz w:val="22"/>
        </w:rPr>
        <w:t xml:space="preserve"> (valtiovarainministeriö)</w:t>
      </w:r>
    </w:p>
    <w:p w14:paraId="6457C114" w14:textId="23CEA8B6" w:rsidR="00DE1837" w:rsidRDefault="00DE1837" w:rsidP="00DE1837">
      <w:pPr>
        <w:pStyle w:val="Text2"/>
        <w:numPr>
          <w:ilvl w:val="1"/>
          <w:numId w:val="40"/>
        </w:numPr>
        <w:tabs>
          <w:tab w:val="clear" w:pos="2302"/>
        </w:tabs>
        <w:ind w:left="2552"/>
        <w:contextualSpacing/>
        <w:rPr>
          <w:sz w:val="22"/>
        </w:rPr>
      </w:pPr>
      <w:r>
        <w:rPr>
          <w:sz w:val="22"/>
        </w:rPr>
        <w:t>Elintarvikkeet, kemikaalit kulutustavaroissa, kosmetiikka, k</w:t>
      </w:r>
      <w:r w:rsidR="00CB2AE7">
        <w:rPr>
          <w:sz w:val="22"/>
        </w:rPr>
        <w:t>ulutustavarat,</w:t>
      </w:r>
      <w:r>
        <w:rPr>
          <w:sz w:val="22"/>
        </w:rPr>
        <w:t xml:space="preserve"> lastenhoitotarvikkeet, lelut ja tekstiilit</w:t>
      </w:r>
    </w:p>
    <w:p w14:paraId="15971700" w14:textId="77777777" w:rsidR="00CB2AE7" w:rsidRPr="00DE1837" w:rsidRDefault="00CB2AE7" w:rsidP="00DE1837">
      <w:pPr>
        <w:pStyle w:val="Text2"/>
        <w:numPr>
          <w:ilvl w:val="1"/>
          <w:numId w:val="40"/>
        </w:numPr>
        <w:tabs>
          <w:tab w:val="clear" w:pos="2302"/>
        </w:tabs>
        <w:ind w:left="2552"/>
        <w:contextualSpacing/>
        <w:rPr>
          <w:sz w:val="22"/>
        </w:rPr>
      </w:pPr>
      <w:r>
        <w:rPr>
          <w:sz w:val="22"/>
        </w:rPr>
        <w:t>valvontaa tehdään tuonnin, viennin ja kuljetuksen yhteydessä</w:t>
      </w:r>
    </w:p>
    <w:p w14:paraId="605A22B4" w14:textId="77777777" w:rsidR="00125479" w:rsidRPr="00F044B0" w:rsidRDefault="002851F1" w:rsidP="002851F1">
      <w:pPr>
        <w:ind w:left="1418"/>
        <w:rPr>
          <w:rFonts w:cs="Calibri"/>
          <w:sz w:val="22"/>
          <w:szCs w:val="22"/>
        </w:rPr>
      </w:pPr>
      <w:r w:rsidRPr="00F044B0">
        <w:rPr>
          <w:rFonts w:cs="Calibri"/>
          <w:sz w:val="22"/>
          <w:szCs w:val="22"/>
        </w:rPr>
        <w:t xml:space="preserve">Markkinavalvontaa tehdään pääasiassa keskushallinnon tasolla, joskin poikkeuksina tähän voidaan mainita mm. </w:t>
      </w:r>
      <w:proofErr w:type="spellStart"/>
      <w:r w:rsidRPr="00F044B0">
        <w:rPr>
          <w:rFonts w:cs="Calibri"/>
          <w:sz w:val="22"/>
          <w:szCs w:val="22"/>
        </w:rPr>
        <w:t>sosiaali</w:t>
      </w:r>
      <w:proofErr w:type="spellEnd"/>
      <w:r w:rsidRPr="00F044B0">
        <w:rPr>
          <w:rFonts w:cs="Calibri"/>
          <w:sz w:val="22"/>
          <w:szCs w:val="22"/>
        </w:rPr>
        <w:t xml:space="preserve">- ja terveysministeriön </w:t>
      </w:r>
      <w:r w:rsidR="00E03F55">
        <w:rPr>
          <w:rFonts w:cs="Calibri"/>
          <w:sz w:val="22"/>
          <w:szCs w:val="22"/>
        </w:rPr>
        <w:t>työ- ja tasa-arvo-</w:t>
      </w:r>
      <w:r w:rsidR="00E03F55" w:rsidRPr="00F044B0">
        <w:rPr>
          <w:rFonts w:cs="Calibri"/>
          <w:sz w:val="22"/>
          <w:szCs w:val="22"/>
        </w:rPr>
        <w:t xml:space="preserve">osaston </w:t>
      </w:r>
      <w:r w:rsidRPr="00F044B0">
        <w:rPr>
          <w:rFonts w:cs="Calibri"/>
          <w:sz w:val="22"/>
          <w:szCs w:val="22"/>
        </w:rPr>
        <w:t xml:space="preserve">sekä aluehallintovirastojen työsuojelun vastuualueiden tekemä, eräiden työssä käytettävien tuotteiden vaatimustenmukaisuuden valvonta, jossa markkinoille luovuttamisen rajoittamista koskevat päätökset tehdään ministeriössä. </w:t>
      </w:r>
      <w:r w:rsidR="00A973CC" w:rsidRPr="00F044B0">
        <w:rPr>
          <w:i/>
          <w:color w:val="0000FF"/>
          <w:sz w:val="22"/>
          <w:szCs w:val="22"/>
        </w:rPr>
        <w:t xml:space="preserve"> </w:t>
      </w:r>
      <w:r w:rsidRPr="00F044B0">
        <w:rPr>
          <w:rFonts w:cs="Calibri"/>
          <w:sz w:val="22"/>
          <w:szCs w:val="22"/>
        </w:rPr>
        <w:t>Myös Tullin tekemään valvontaan liittyy eräitä erityispiirteitä, joita on tuotu esiin jäljempänä luvussa 1.3.</w:t>
      </w:r>
    </w:p>
    <w:p w14:paraId="7CF24D12" w14:textId="77777777" w:rsidR="002851F1" w:rsidRPr="00F044B0" w:rsidRDefault="002851F1" w:rsidP="002851F1">
      <w:pPr>
        <w:ind w:left="1418"/>
        <w:rPr>
          <w:sz w:val="22"/>
          <w:szCs w:val="22"/>
        </w:rPr>
      </w:pPr>
      <w:r w:rsidRPr="00F044B0">
        <w:rPr>
          <w:rFonts w:cs="Calibri"/>
          <w:sz w:val="22"/>
          <w:szCs w:val="22"/>
        </w:rPr>
        <w:t>Suomen markkinavalvontaviranomaisten yhteystiedot löytyvät sektorikohtaisista markkinavalvontaohjelmista</w:t>
      </w:r>
      <w:r w:rsidRPr="00F044B0">
        <w:rPr>
          <w:sz w:val="22"/>
          <w:szCs w:val="22"/>
        </w:rPr>
        <w:t>.</w:t>
      </w:r>
    </w:p>
    <w:p w14:paraId="7683AB24" w14:textId="77777777" w:rsidR="002851F1" w:rsidRDefault="002851F1" w:rsidP="002851F1">
      <w:pPr>
        <w:rPr>
          <w:b/>
          <w:sz w:val="22"/>
        </w:rPr>
      </w:pPr>
      <w:r w:rsidRPr="002851F1">
        <w:rPr>
          <w:b/>
          <w:sz w:val="22"/>
        </w:rPr>
        <w:t>Suomen markkinavalvontaviranomaisten resurssit:</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01"/>
        <w:gridCol w:w="2443"/>
      </w:tblGrid>
      <w:tr w:rsidR="002851F1" w:rsidRPr="002E7DF7" w14:paraId="07464BF8" w14:textId="77777777" w:rsidTr="0080168F">
        <w:tc>
          <w:tcPr>
            <w:tcW w:w="3085" w:type="dxa"/>
            <w:tcBorders>
              <w:bottom w:val="single" w:sz="12" w:space="0" w:color="auto"/>
            </w:tcBorders>
          </w:tcPr>
          <w:p w14:paraId="34496ACE" w14:textId="77777777" w:rsidR="002851F1" w:rsidRPr="002E7DF7" w:rsidRDefault="002851F1" w:rsidP="002851F1">
            <w:pPr>
              <w:spacing w:after="0"/>
              <w:contextualSpacing/>
              <w:rPr>
                <w:rFonts w:eastAsia="Calibri"/>
                <w:sz w:val="22"/>
                <w:szCs w:val="22"/>
                <w:lang w:val="en-US"/>
              </w:rPr>
            </w:pPr>
            <w:proofErr w:type="spellStart"/>
            <w:r>
              <w:rPr>
                <w:rFonts w:eastAsia="Calibri"/>
                <w:sz w:val="22"/>
                <w:szCs w:val="22"/>
                <w:lang w:val="en-US"/>
              </w:rPr>
              <w:t>Markkinavalvontaviranomainen</w:t>
            </w:r>
            <w:proofErr w:type="spellEnd"/>
          </w:p>
        </w:tc>
        <w:tc>
          <w:tcPr>
            <w:tcW w:w="1701" w:type="dxa"/>
            <w:tcBorders>
              <w:bottom w:val="single" w:sz="12" w:space="0" w:color="auto"/>
            </w:tcBorders>
          </w:tcPr>
          <w:p w14:paraId="7F933BDF" w14:textId="77777777" w:rsidR="002851F1" w:rsidRPr="002E7DF7" w:rsidRDefault="002851F1" w:rsidP="002851F1">
            <w:pPr>
              <w:spacing w:after="0"/>
              <w:contextualSpacing/>
              <w:rPr>
                <w:rFonts w:eastAsia="Calibri"/>
                <w:sz w:val="22"/>
                <w:szCs w:val="22"/>
                <w:lang w:val="en-US"/>
              </w:rPr>
            </w:pPr>
            <w:proofErr w:type="spellStart"/>
            <w:r>
              <w:rPr>
                <w:rFonts w:eastAsia="Calibri"/>
                <w:sz w:val="22"/>
                <w:szCs w:val="22"/>
                <w:lang w:val="en-US"/>
              </w:rPr>
              <w:t>Henkilöstö</w:t>
            </w:r>
            <w:proofErr w:type="spellEnd"/>
            <w:r>
              <w:rPr>
                <w:rFonts w:eastAsia="Calibri"/>
                <w:sz w:val="22"/>
                <w:szCs w:val="22"/>
                <w:lang w:val="en-US"/>
              </w:rPr>
              <w:t xml:space="preserve"> (</w:t>
            </w:r>
            <w:proofErr w:type="spellStart"/>
            <w:r>
              <w:rPr>
                <w:rFonts w:eastAsia="Calibri"/>
                <w:sz w:val="22"/>
                <w:szCs w:val="22"/>
                <w:lang w:val="en-US"/>
              </w:rPr>
              <w:t>htv</w:t>
            </w:r>
            <w:proofErr w:type="spellEnd"/>
            <w:r>
              <w:rPr>
                <w:rFonts w:eastAsia="Calibri"/>
                <w:sz w:val="22"/>
                <w:szCs w:val="22"/>
                <w:lang w:val="en-US"/>
              </w:rPr>
              <w:t>)</w:t>
            </w:r>
          </w:p>
        </w:tc>
        <w:tc>
          <w:tcPr>
            <w:tcW w:w="2443" w:type="dxa"/>
            <w:tcBorders>
              <w:bottom w:val="single" w:sz="12" w:space="0" w:color="auto"/>
            </w:tcBorders>
          </w:tcPr>
          <w:p w14:paraId="4E6CCE73" w14:textId="77777777" w:rsidR="002851F1" w:rsidRDefault="002851F1" w:rsidP="002851F1">
            <w:pPr>
              <w:spacing w:after="0"/>
              <w:contextualSpacing/>
              <w:rPr>
                <w:rFonts w:eastAsia="Calibri"/>
                <w:sz w:val="22"/>
                <w:szCs w:val="22"/>
                <w:lang w:val="en-US"/>
              </w:rPr>
            </w:pPr>
            <w:proofErr w:type="spellStart"/>
            <w:r>
              <w:rPr>
                <w:rFonts w:eastAsia="Calibri"/>
                <w:sz w:val="22"/>
                <w:szCs w:val="22"/>
                <w:lang w:val="en-US"/>
              </w:rPr>
              <w:t>Budjetti</w:t>
            </w:r>
            <w:proofErr w:type="spellEnd"/>
            <w:r>
              <w:rPr>
                <w:rFonts w:eastAsia="Calibri"/>
                <w:sz w:val="22"/>
                <w:szCs w:val="22"/>
                <w:lang w:val="en-US"/>
              </w:rPr>
              <w:t xml:space="preserve"> </w:t>
            </w:r>
            <w:r w:rsidRPr="002E7DF7">
              <w:rPr>
                <w:rFonts w:eastAsia="Calibri"/>
                <w:sz w:val="22"/>
                <w:szCs w:val="22"/>
                <w:lang w:val="en-US"/>
              </w:rPr>
              <w:t>(€)</w:t>
            </w:r>
          </w:p>
          <w:p w14:paraId="3F38F61B" w14:textId="77777777" w:rsidR="005F5AD0" w:rsidRPr="002E7DF7" w:rsidRDefault="005F5AD0" w:rsidP="002851F1">
            <w:pPr>
              <w:spacing w:after="0"/>
              <w:contextualSpacing/>
              <w:rPr>
                <w:rFonts w:eastAsia="Calibri"/>
                <w:sz w:val="22"/>
                <w:szCs w:val="22"/>
                <w:lang w:val="en-US"/>
              </w:rPr>
            </w:pPr>
          </w:p>
        </w:tc>
      </w:tr>
      <w:tr w:rsidR="00E13EDD" w:rsidRPr="002E7DF7" w14:paraId="3844602C" w14:textId="77777777" w:rsidTr="0080168F">
        <w:tc>
          <w:tcPr>
            <w:tcW w:w="3085" w:type="dxa"/>
            <w:tcBorders>
              <w:top w:val="single" w:sz="4" w:space="0" w:color="auto"/>
            </w:tcBorders>
          </w:tcPr>
          <w:p w14:paraId="2EDD1A9F" w14:textId="77777777" w:rsidR="00E13EDD" w:rsidRDefault="00E13EDD" w:rsidP="006B4B87">
            <w:pPr>
              <w:spacing w:after="0"/>
              <w:contextualSpacing/>
              <w:rPr>
                <w:rFonts w:eastAsia="Calibri"/>
                <w:sz w:val="22"/>
                <w:szCs w:val="22"/>
                <w:lang w:val="en-US"/>
              </w:rPr>
            </w:pPr>
            <w:proofErr w:type="spellStart"/>
            <w:r>
              <w:rPr>
                <w:rFonts w:eastAsia="Calibri"/>
                <w:sz w:val="22"/>
                <w:szCs w:val="22"/>
                <w:lang w:val="en-US"/>
              </w:rPr>
              <w:t>Fimea</w:t>
            </w:r>
            <w:proofErr w:type="spellEnd"/>
          </w:p>
          <w:p w14:paraId="73532212" w14:textId="77777777" w:rsidR="00E13EDD" w:rsidRDefault="00E13EDD" w:rsidP="006B4B87">
            <w:pPr>
              <w:spacing w:after="0"/>
              <w:contextualSpacing/>
              <w:rPr>
                <w:rFonts w:eastAsia="Calibri"/>
                <w:sz w:val="22"/>
                <w:szCs w:val="22"/>
                <w:lang w:val="en-US"/>
              </w:rPr>
            </w:pPr>
          </w:p>
        </w:tc>
        <w:tc>
          <w:tcPr>
            <w:tcW w:w="1701" w:type="dxa"/>
            <w:tcBorders>
              <w:top w:val="single" w:sz="4" w:space="0" w:color="auto"/>
            </w:tcBorders>
          </w:tcPr>
          <w:p w14:paraId="574F0459" w14:textId="77777777" w:rsidR="00E13EDD" w:rsidRDefault="00E13EDD" w:rsidP="006B4B87">
            <w:pPr>
              <w:spacing w:after="0"/>
              <w:contextualSpacing/>
              <w:rPr>
                <w:rFonts w:eastAsia="Calibri"/>
                <w:sz w:val="22"/>
                <w:szCs w:val="22"/>
                <w:lang w:val="en-US"/>
              </w:rPr>
            </w:pPr>
            <w:r>
              <w:rPr>
                <w:rFonts w:eastAsia="Calibri"/>
                <w:sz w:val="22"/>
                <w:szCs w:val="22"/>
                <w:lang w:val="en-US"/>
              </w:rPr>
              <w:t>6</w:t>
            </w:r>
          </w:p>
        </w:tc>
        <w:tc>
          <w:tcPr>
            <w:tcW w:w="2443" w:type="dxa"/>
            <w:tcBorders>
              <w:top w:val="single" w:sz="4" w:space="0" w:color="auto"/>
            </w:tcBorders>
          </w:tcPr>
          <w:p w14:paraId="0D66B542" w14:textId="77777777" w:rsidR="00E13EDD" w:rsidRDefault="00E13EDD" w:rsidP="006B4B87">
            <w:pPr>
              <w:spacing w:after="0"/>
              <w:contextualSpacing/>
              <w:rPr>
                <w:rFonts w:eastAsia="Calibri"/>
                <w:sz w:val="22"/>
                <w:szCs w:val="22"/>
                <w:lang w:val="en-US"/>
              </w:rPr>
            </w:pPr>
            <w:r>
              <w:rPr>
                <w:rFonts w:eastAsia="Calibri"/>
                <w:sz w:val="22"/>
                <w:szCs w:val="22"/>
                <w:lang w:val="en-US"/>
              </w:rPr>
              <w:t>n/a</w:t>
            </w:r>
          </w:p>
        </w:tc>
      </w:tr>
      <w:tr w:rsidR="006B4B87" w:rsidRPr="002E7DF7" w14:paraId="5993F3E8" w14:textId="77777777" w:rsidTr="0080168F">
        <w:tc>
          <w:tcPr>
            <w:tcW w:w="3085" w:type="dxa"/>
            <w:tcBorders>
              <w:top w:val="single" w:sz="4" w:space="0" w:color="auto"/>
            </w:tcBorders>
          </w:tcPr>
          <w:p w14:paraId="322A3E7E" w14:textId="77777777" w:rsidR="006B4B87" w:rsidRDefault="006B4B87" w:rsidP="006B4B87">
            <w:pPr>
              <w:spacing w:after="0"/>
              <w:contextualSpacing/>
              <w:rPr>
                <w:rFonts w:eastAsia="Calibri"/>
                <w:sz w:val="22"/>
                <w:szCs w:val="22"/>
                <w:lang w:val="en-US"/>
              </w:rPr>
            </w:pPr>
            <w:r>
              <w:rPr>
                <w:rFonts w:eastAsia="Calibri"/>
                <w:sz w:val="22"/>
                <w:szCs w:val="22"/>
                <w:lang w:val="en-US"/>
              </w:rPr>
              <w:t>KKV</w:t>
            </w:r>
          </w:p>
          <w:p w14:paraId="19AC3EB1" w14:textId="77777777" w:rsidR="005F5AD0" w:rsidRPr="002E7DF7" w:rsidRDefault="005F5AD0" w:rsidP="006B4B87">
            <w:pPr>
              <w:spacing w:after="0"/>
              <w:contextualSpacing/>
              <w:rPr>
                <w:rFonts w:eastAsia="Calibri"/>
                <w:sz w:val="22"/>
                <w:szCs w:val="22"/>
                <w:lang w:val="en-US"/>
              </w:rPr>
            </w:pPr>
          </w:p>
        </w:tc>
        <w:tc>
          <w:tcPr>
            <w:tcW w:w="1701" w:type="dxa"/>
            <w:tcBorders>
              <w:top w:val="single" w:sz="4" w:space="0" w:color="auto"/>
            </w:tcBorders>
          </w:tcPr>
          <w:p w14:paraId="7FEDDABF" w14:textId="77777777" w:rsidR="006B4B87" w:rsidRPr="002E7DF7" w:rsidRDefault="006B4B87" w:rsidP="006B4B87">
            <w:pPr>
              <w:spacing w:after="0"/>
              <w:contextualSpacing/>
              <w:rPr>
                <w:rFonts w:eastAsia="Calibri"/>
                <w:sz w:val="22"/>
                <w:szCs w:val="22"/>
                <w:lang w:val="en-US"/>
              </w:rPr>
            </w:pPr>
            <w:r>
              <w:rPr>
                <w:rFonts w:eastAsia="Calibri"/>
                <w:sz w:val="22"/>
                <w:szCs w:val="22"/>
                <w:lang w:val="en-US"/>
              </w:rPr>
              <w:t>0,02</w:t>
            </w:r>
          </w:p>
        </w:tc>
        <w:tc>
          <w:tcPr>
            <w:tcW w:w="2443" w:type="dxa"/>
            <w:tcBorders>
              <w:top w:val="single" w:sz="4" w:space="0" w:color="auto"/>
            </w:tcBorders>
          </w:tcPr>
          <w:p w14:paraId="62EDD868" w14:textId="77777777" w:rsidR="006B4B87" w:rsidRPr="002E7DF7" w:rsidRDefault="006B4B87" w:rsidP="006B4B87">
            <w:pPr>
              <w:spacing w:after="0"/>
              <w:contextualSpacing/>
              <w:rPr>
                <w:rFonts w:eastAsia="Calibri"/>
                <w:sz w:val="22"/>
                <w:szCs w:val="22"/>
                <w:lang w:val="en-US"/>
              </w:rPr>
            </w:pPr>
            <w:r>
              <w:rPr>
                <w:rFonts w:eastAsia="Calibri"/>
                <w:sz w:val="22"/>
                <w:szCs w:val="22"/>
                <w:lang w:val="en-US"/>
              </w:rPr>
              <w:t>n/a</w:t>
            </w:r>
          </w:p>
        </w:tc>
      </w:tr>
      <w:tr w:rsidR="006B4B87" w:rsidRPr="002E7DF7" w14:paraId="17F703DD" w14:textId="77777777" w:rsidTr="0080168F">
        <w:tc>
          <w:tcPr>
            <w:tcW w:w="3085" w:type="dxa"/>
            <w:tcBorders>
              <w:top w:val="single" w:sz="4" w:space="0" w:color="auto"/>
            </w:tcBorders>
          </w:tcPr>
          <w:p w14:paraId="1C00FB3A" w14:textId="77777777" w:rsidR="006B4B87" w:rsidRDefault="006B4B87" w:rsidP="006B4B87">
            <w:pPr>
              <w:spacing w:after="0"/>
              <w:contextualSpacing/>
              <w:rPr>
                <w:rFonts w:eastAsia="Calibri"/>
                <w:sz w:val="22"/>
                <w:szCs w:val="22"/>
                <w:lang w:val="en-US"/>
              </w:rPr>
            </w:pPr>
            <w:proofErr w:type="spellStart"/>
            <w:r>
              <w:rPr>
                <w:rFonts w:eastAsia="Calibri"/>
                <w:sz w:val="22"/>
                <w:szCs w:val="22"/>
                <w:lang w:val="en-US"/>
              </w:rPr>
              <w:t>Poliisihallitus</w:t>
            </w:r>
            <w:proofErr w:type="spellEnd"/>
          </w:p>
          <w:p w14:paraId="6CB2A1C8" w14:textId="77777777" w:rsidR="005F5AD0" w:rsidRPr="002E7DF7" w:rsidRDefault="005F5AD0" w:rsidP="006B4B87">
            <w:pPr>
              <w:spacing w:after="0"/>
              <w:contextualSpacing/>
              <w:rPr>
                <w:rFonts w:eastAsia="Calibri"/>
                <w:sz w:val="22"/>
                <w:szCs w:val="22"/>
                <w:lang w:val="en-US"/>
              </w:rPr>
            </w:pPr>
          </w:p>
        </w:tc>
        <w:tc>
          <w:tcPr>
            <w:tcW w:w="1701" w:type="dxa"/>
            <w:tcBorders>
              <w:top w:val="single" w:sz="4" w:space="0" w:color="auto"/>
            </w:tcBorders>
          </w:tcPr>
          <w:p w14:paraId="1BF55AF6" w14:textId="4A2B0D5B" w:rsidR="006B4B87" w:rsidRPr="002E7DF7" w:rsidRDefault="006B4B87" w:rsidP="006B4B87">
            <w:pPr>
              <w:spacing w:after="0"/>
              <w:contextualSpacing/>
              <w:rPr>
                <w:rFonts w:eastAsia="Calibri"/>
                <w:sz w:val="22"/>
                <w:szCs w:val="22"/>
                <w:lang w:val="en-US"/>
              </w:rPr>
            </w:pPr>
            <w:r>
              <w:rPr>
                <w:rFonts w:eastAsia="Calibri"/>
                <w:sz w:val="22"/>
                <w:szCs w:val="22"/>
                <w:lang w:val="en-US"/>
              </w:rPr>
              <w:t>1,</w:t>
            </w:r>
            <w:r w:rsidR="00E13EDD">
              <w:rPr>
                <w:rFonts w:eastAsia="Calibri"/>
                <w:sz w:val="22"/>
                <w:szCs w:val="22"/>
                <w:lang w:val="en-US"/>
              </w:rPr>
              <w:t>2</w:t>
            </w:r>
          </w:p>
        </w:tc>
        <w:tc>
          <w:tcPr>
            <w:tcW w:w="2443" w:type="dxa"/>
            <w:tcBorders>
              <w:top w:val="single" w:sz="4" w:space="0" w:color="auto"/>
            </w:tcBorders>
          </w:tcPr>
          <w:p w14:paraId="2EAF5906" w14:textId="77777777" w:rsidR="006B4B87" w:rsidRPr="002E7DF7" w:rsidRDefault="006B4B87" w:rsidP="006B4B87">
            <w:pPr>
              <w:spacing w:after="0"/>
              <w:contextualSpacing/>
              <w:rPr>
                <w:rFonts w:eastAsia="Calibri"/>
                <w:sz w:val="22"/>
                <w:szCs w:val="22"/>
                <w:lang w:val="en-US"/>
              </w:rPr>
            </w:pPr>
            <w:r>
              <w:rPr>
                <w:rFonts w:eastAsia="Calibri"/>
                <w:sz w:val="22"/>
                <w:szCs w:val="22"/>
                <w:lang w:val="en-US"/>
              </w:rPr>
              <w:t>418 000</w:t>
            </w:r>
          </w:p>
        </w:tc>
      </w:tr>
      <w:tr w:rsidR="0069342D" w:rsidRPr="002E7DF7" w14:paraId="4B763D35" w14:textId="77777777" w:rsidTr="0080168F">
        <w:tc>
          <w:tcPr>
            <w:tcW w:w="3085" w:type="dxa"/>
            <w:tcBorders>
              <w:top w:val="single" w:sz="4" w:space="0" w:color="auto"/>
            </w:tcBorders>
          </w:tcPr>
          <w:p w14:paraId="7A5BF01A" w14:textId="77777777" w:rsidR="0069342D" w:rsidRDefault="0069342D" w:rsidP="006B4B87">
            <w:pPr>
              <w:spacing w:after="0"/>
              <w:contextualSpacing/>
              <w:rPr>
                <w:rFonts w:eastAsia="Calibri"/>
                <w:sz w:val="22"/>
                <w:szCs w:val="22"/>
                <w:lang w:val="en-US"/>
              </w:rPr>
            </w:pPr>
            <w:proofErr w:type="spellStart"/>
            <w:r>
              <w:rPr>
                <w:rFonts w:eastAsia="Calibri"/>
                <w:sz w:val="22"/>
                <w:szCs w:val="22"/>
                <w:lang w:val="en-US"/>
              </w:rPr>
              <w:t>Ruokavirasto</w:t>
            </w:r>
            <w:proofErr w:type="spellEnd"/>
          </w:p>
          <w:p w14:paraId="341705D7" w14:textId="77777777" w:rsidR="0069342D" w:rsidRDefault="0069342D" w:rsidP="006B4B87">
            <w:pPr>
              <w:spacing w:after="0"/>
              <w:contextualSpacing/>
              <w:rPr>
                <w:rFonts w:eastAsia="Calibri"/>
                <w:sz w:val="22"/>
                <w:szCs w:val="22"/>
                <w:lang w:val="en-US"/>
              </w:rPr>
            </w:pPr>
          </w:p>
        </w:tc>
        <w:tc>
          <w:tcPr>
            <w:tcW w:w="1701" w:type="dxa"/>
            <w:tcBorders>
              <w:top w:val="single" w:sz="4" w:space="0" w:color="auto"/>
            </w:tcBorders>
          </w:tcPr>
          <w:p w14:paraId="7247CE43" w14:textId="70AC4195" w:rsidR="0069342D" w:rsidRDefault="00E13EDD" w:rsidP="006B4B87">
            <w:pPr>
              <w:spacing w:after="0"/>
              <w:contextualSpacing/>
              <w:rPr>
                <w:rFonts w:eastAsia="Calibri"/>
                <w:sz w:val="22"/>
                <w:szCs w:val="22"/>
                <w:lang w:val="en-US"/>
              </w:rPr>
            </w:pPr>
            <w:r>
              <w:rPr>
                <w:rFonts w:eastAsia="Calibri"/>
                <w:sz w:val="22"/>
                <w:szCs w:val="22"/>
                <w:lang w:val="en-US"/>
              </w:rPr>
              <w:t>1,3</w:t>
            </w:r>
          </w:p>
        </w:tc>
        <w:tc>
          <w:tcPr>
            <w:tcW w:w="2443" w:type="dxa"/>
            <w:tcBorders>
              <w:top w:val="single" w:sz="4" w:space="0" w:color="auto"/>
            </w:tcBorders>
          </w:tcPr>
          <w:p w14:paraId="47C0D348" w14:textId="1B5CF60E" w:rsidR="0069342D" w:rsidRDefault="00E13EDD" w:rsidP="006B4B87">
            <w:pPr>
              <w:spacing w:after="0"/>
              <w:contextualSpacing/>
              <w:rPr>
                <w:rFonts w:eastAsia="Calibri"/>
                <w:sz w:val="22"/>
                <w:szCs w:val="22"/>
                <w:lang w:val="en-US"/>
              </w:rPr>
            </w:pPr>
            <w:r>
              <w:rPr>
                <w:rFonts w:eastAsia="Calibri"/>
                <w:sz w:val="22"/>
                <w:szCs w:val="22"/>
                <w:lang w:val="en-US"/>
              </w:rPr>
              <w:t>90 000</w:t>
            </w:r>
          </w:p>
        </w:tc>
      </w:tr>
      <w:tr w:rsidR="006B4B87" w:rsidRPr="002E7DF7" w14:paraId="2398EBFF" w14:textId="77777777" w:rsidTr="0080168F">
        <w:tc>
          <w:tcPr>
            <w:tcW w:w="3085" w:type="dxa"/>
          </w:tcPr>
          <w:p w14:paraId="1217021C" w14:textId="77777777" w:rsidR="006B4B87" w:rsidRPr="006B4B87" w:rsidRDefault="006B4B87" w:rsidP="006B4B87">
            <w:pPr>
              <w:pStyle w:val="Text2"/>
              <w:tabs>
                <w:tab w:val="clear" w:pos="2302"/>
              </w:tabs>
              <w:ind w:left="0"/>
              <w:contextualSpacing/>
              <w:rPr>
                <w:rFonts w:eastAsia="Calibri"/>
                <w:sz w:val="22"/>
                <w:szCs w:val="22"/>
              </w:rPr>
            </w:pPr>
            <w:proofErr w:type="spellStart"/>
            <w:r w:rsidRPr="006B4B87">
              <w:rPr>
                <w:sz w:val="22"/>
              </w:rPr>
              <w:t>Sosiaali</w:t>
            </w:r>
            <w:proofErr w:type="spellEnd"/>
            <w:r w:rsidRPr="006B4B87">
              <w:rPr>
                <w:sz w:val="22"/>
              </w:rPr>
              <w:t>- ja terveysministeriön työ</w:t>
            </w:r>
            <w:r w:rsidR="0069342D">
              <w:rPr>
                <w:sz w:val="22"/>
              </w:rPr>
              <w:t xml:space="preserve">- ja tasa-arvo-osasto </w:t>
            </w:r>
            <w:r w:rsidRPr="006B4B87">
              <w:rPr>
                <w:sz w:val="22"/>
              </w:rPr>
              <w:t xml:space="preserve"> ja aluehallintovirastojen työsuojelun vastuualueet</w:t>
            </w:r>
            <w:r>
              <w:rPr>
                <w:sz w:val="22"/>
              </w:rPr>
              <w:t xml:space="preserve"> (AVI)</w:t>
            </w:r>
          </w:p>
        </w:tc>
        <w:tc>
          <w:tcPr>
            <w:tcW w:w="1701" w:type="dxa"/>
          </w:tcPr>
          <w:p w14:paraId="17B89636" w14:textId="77777777" w:rsidR="006B4B87" w:rsidRPr="00C46B16" w:rsidRDefault="00E13522" w:rsidP="006B4B87">
            <w:pPr>
              <w:spacing w:after="0"/>
              <w:contextualSpacing/>
              <w:rPr>
                <w:rFonts w:eastAsia="Calibri"/>
                <w:sz w:val="22"/>
                <w:szCs w:val="22"/>
                <w:lang w:val="en-US"/>
              </w:rPr>
            </w:pPr>
            <w:r>
              <w:rPr>
                <w:rFonts w:eastAsia="Calibri"/>
                <w:sz w:val="22"/>
                <w:szCs w:val="22"/>
                <w:lang w:val="en-US"/>
              </w:rPr>
              <w:t>7</w:t>
            </w:r>
            <w:r w:rsidR="006B4B87">
              <w:rPr>
                <w:rFonts w:eastAsia="Calibri"/>
                <w:sz w:val="22"/>
                <w:szCs w:val="22"/>
                <w:lang w:val="en-US"/>
              </w:rPr>
              <w:t xml:space="preserve"> (</w:t>
            </w:r>
            <w:proofErr w:type="spellStart"/>
            <w:r w:rsidR="006B4B87">
              <w:rPr>
                <w:rFonts w:eastAsia="Calibri"/>
                <w:sz w:val="22"/>
                <w:szCs w:val="22"/>
                <w:lang w:val="en-US"/>
              </w:rPr>
              <w:t>yhteensä</w:t>
            </w:r>
            <w:proofErr w:type="spellEnd"/>
            <w:r w:rsidR="006B4B87">
              <w:rPr>
                <w:rFonts w:eastAsia="Calibri"/>
                <w:sz w:val="22"/>
                <w:szCs w:val="22"/>
                <w:lang w:val="en-US"/>
              </w:rPr>
              <w:t>)</w:t>
            </w:r>
          </w:p>
          <w:p w14:paraId="1F674546" w14:textId="77777777" w:rsidR="006B4B87" w:rsidRDefault="00E13522" w:rsidP="006B4B87">
            <w:pPr>
              <w:spacing w:after="0"/>
              <w:contextualSpacing/>
              <w:rPr>
                <w:rFonts w:eastAsia="Calibri"/>
                <w:sz w:val="22"/>
                <w:szCs w:val="22"/>
                <w:lang w:val="en-US"/>
              </w:rPr>
            </w:pPr>
            <w:r>
              <w:rPr>
                <w:rFonts w:eastAsia="Calibri"/>
                <w:sz w:val="22"/>
                <w:szCs w:val="22"/>
                <w:lang w:val="en-US"/>
              </w:rPr>
              <w:t>2,2</w:t>
            </w:r>
            <w:r w:rsidR="006B4B87">
              <w:rPr>
                <w:rFonts w:eastAsia="Calibri"/>
                <w:sz w:val="22"/>
                <w:szCs w:val="22"/>
                <w:lang w:val="en-US"/>
              </w:rPr>
              <w:t xml:space="preserve"> (STM)</w:t>
            </w:r>
          </w:p>
          <w:p w14:paraId="57D955FC" w14:textId="77777777" w:rsidR="006B4B87" w:rsidRPr="002E7DF7" w:rsidRDefault="006B4B87" w:rsidP="006B4B87">
            <w:pPr>
              <w:spacing w:after="0"/>
              <w:contextualSpacing/>
              <w:rPr>
                <w:rFonts w:eastAsia="Calibri"/>
                <w:sz w:val="22"/>
                <w:szCs w:val="22"/>
                <w:lang w:val="en-US"/>
              </w:rPr>
            </w:pPr>
            <w:r>
              <w:rPr>
                <w:rFonts w:eastAsia="Calibri"/>
                <w:sz w:val="22"/>
                <w:szCs w:val="22"/>
                <w:lang w:val="en-US"/>
              </w:rPr>
              <w:t>4.8 (AVI)</w:t>
            </w:r>
          </w:p>
        </w:tc>
        <w:tc>
          <w:tcPr>
            <w:tcW w:w="2443" w:type="dxa"/>
          </w:tcPr>
          <w:p w14:paraId="47C4904B" w14:textId="77777777" w:rsidR="006B4B87" w:rsidRPr="00C46B16" w:rsidRDefault="006B4B87" w:rsidP="006B4B87">
            <w:pPr>
              <w:spacing w:after="0"/>
              <w:contextualSpacing/>
              <w:rPr>
                <w:rFonts w:eastAsia="Calibri"/>
                <w:sz w:val="22"/>
                <w:szCs w:val="22"/>
                <w:lang w:val="en-US"/>
              </w:rPr>
            </w:pPr>
            <w:r>
              <w:rPr>
                <w:rFonts w:eastAsia="Calibri"/>
                <w:sz w:val="22"/>
                <w:szCs w:val="22"/>
                <w:lang w:val="en-US"/>
              </w:rPr>
              <w:t>2</w:t>
            </w:r>
            <w:r w:rsidR="00E13522">
              <w:rPr>
                <w:rFonts w:eastAsia="Calibri"/>
                <w:sz w:val="22"/>
                <w:szCs w:val="22"/>
                <w:lang w:val="en-US"/>
              </w:rPr>
              <w:t>4</w:t>
            </w:r>
            <w:r>
              <w:rPr>
                <w:rFonts w:eastAsia="Calibri"/>
                <w:sz w:val="22"/>
                <w:szCs w:val="22"/>
                <w:lang w:val="en-US"/>
              </w:rPr>
              <w:t xml:space="preserve">0 </w:t>
            </w:r>
            <w:r w:rsidRPr="00C46B16">
              <w:rPr>
                <w:rFonts w:eastAsia="Calibri"/>
                <w:sz w:val="22"/>
                <w:szCs w:val="22"/>
                <w:lang w:val="en-US"/>
              </w:rPr>
              <w:t>000</w:t>
            </w:r>
            <w:r>
              <w:rPr>
                <w:rFonts w:eastAsia="Calibri"/>
                <w:sz w:val="22"/>
                <w:szCs w:val="22"/>
                <w:lang w:val="en-US"/>
              </w:rPr>
              <w:t xml:space="preserve"> (</w:t>
            </w:r>
            <w:proofErr w:type="spellStart"/>
            <w:r>
              <w:rPr>
                <w:rFonts w:eastAsia="Calibri"/>
                <w:sz w:val="22"/>
                <w:szCs w:val="22"/>
                <w:lang w:val="en-US"/>
              </w:rPr>
              <w:t>yhteensä</w:t>
            </w:r>
            <w:proofErr w:type="spellEnd"/>
            <w:r>
              <w:rPr>
                <w:rFonts w:eastAsia="Calibri"/>
                <w:sz w:val="22"/>
                <w:szCs w:val="22"/>
                <w:lang w:val="en-US"/>
              </w:rPr>
              <w:t>)</w:t>
            </w:r>
          </w:p>
          <w:p w14:paraId="5AE06EBA" w14:textId="77777777" w:rsidR="006B4B87" w:rsidRDefault="00E13522" w:rsidP="006B4B87">
            <w:pPr>
              <w:spacing w:after="0"/>
              <w:contextualSpacing/>
              <w:rPr>
                <w:rFonts w:eastAsia="Calibri"/>
                <w:sz w:val="22"/>
                <w:szCs w:val="22"/>
                <w:lang w:val="en-US"/>
              </w:rPr>
            </w:pPr>
            <w:r>
              <w:rPr>
                <w:rFonts w:eastAsia="Calibri"/>
                <w:sz w:val="22"/>
                <w:szCs w:val="22"/>
                <w:lang w:val="en-US"/>
              </w:rPr>
              <w:t>114</w:t>
            </w:r>
            <w:r w:rsidR="006B4B87">
              <w:rPr>
                <w:rFonts w:eastAsia="Calibri"/>
                <w:sz w:val="22"/>
                <w:szCs w:val="22"/>
                <w:lang w:val="en-US"/>
              </w:rPr>
              <w:t xml:space="preserve"> 000 (STM)</w:t>
            </w:r>
          </w:p>
          <w:p w14:paraId="6F04BB78" w14:textId="77777777" w:rsidR="006B4B87" w:rsidRPr="002E7DF7" w:rsidRDefault="006B4B87" w:rsidP="006B4B87">
            <w:pPr>
              <w:spacing w:after="0"/>
              <w:contextualSpacing/>
              <w:rPr>
                <w:rFonts w:eastAsia="Calibri"/>
                <w:sz w:val="22"/>
                <w:szCs w:val="22"/>
                <w:lang w:val="en-US"/>
              </w:rPr>
            </w:pPr>
            <w:r>
              <w:rPr>
                <w:rFonts w:eastAsia="Calibri"/>
                <w:sz w:val="22"/>
                <w:szCs w:val="22"/>
                <w:lang w:val="en-US"/>
              </w:rPr>
              <w:t>1</w:t>
            </w:r>
            <w:r w:rsidR="00E13522">
              <w:rPr>
                <w:rFonts w:eastAsia="Calibri"/>
                <w:sz w:val="22"/>
                <w:szCs w:val="22"/>
                <w:lang w:val="en-US"/>
              </w:rPr>
              <w:t>26</w:t>
            </w:r>
            <w:r>
              <w:rPr>
                <w:rFonts w:eastAsia="Calibri"/>
                <w:sz w:val="22"/>
                <w:szCs w:val="22"/>
                <w:lang w:val="en-US"/>
              </w:rPr>
              <w:t xml:space="preserve"> 000 (AVI)</w:t>
            </w:r>
          </w:p>
        </w:tc>
      </w:tr>
      <w:tr w:rsidR="006B4B87" w:rsidRPr="002E7DF7" w14:paraId="0E0829BD" w14:textId="77777777" w:rsidTr="0080168F">
        <w:tc>
          <w:tcPr>
            <w:tcW w:w="3085" w:type="dxa"/>
          </w:tcPr>
          <w:p w14:paraId="3CA263CA" w14:textId="77777777" w:rsidR="006B4B87" w:rsidRDefault="006B4B87" w:rsidP="006B4B87">
            <w:pPr>
              <w:spacing w:after="0"/>
              <w:contextualSpacing/>
              <w:rPr>
                <w:rFonts w:eastAsia="Calibri"/>
                <w:sz w:val="22"/>
                <w:szCs w:val="22"/>
                <w:lang w:val="en-US"/>
              </w:rPr>
            </w:pPr>
            <w:r>
              <w:rPr>
                <w:rFonts w:eastAsia="Calibri"/>
                <w:sz w:val="22"/>
                <w:szCs w:val="22"/>
                <w:lang w:val="en-US"/>
              </w:rPr>
              <w:t>STUK</w:t>
            </w:r>
          </w:p>
          <w:p w14:paraId="3CDB012B" w14:textId="77777777" w:rsidR="005F5AD0" w:rsidRPr="002E7DF7" w:rsidRDefault="005F5AD0" w:rsidP="006B4B87">
            <w:pPr>
              <w:spacing w:after="0"/>
              <w:contextualSpacing/>
              <w:rPr>
                <w:rFonts w:eastAsia="Calibri"/>
                <w:sz w:val="22"/>
                <w:szCs w:val="22"/>
                <w:lang w:val="en-US"/>
              </w:rPr>
            </w:pPr>
          </w:p>
        </w:tc>
        <w:tc>
          <w:tcPr>
            <w:tcW w:w="1701" w:type="dxa"/>
          </w:tcPr>
          <w:p w14:paraId="38C89EB8" w14:textId="77777777" w:rsidR="006B4B87" w:rsidRPr="002E7DF7" w:rsidRDefault="006B4B87" w:rsidP="006B4B87">
            <w:pPr>
              <w:spacing w:after="0"/>
              <w:contextualSpacing/>
              <w:rPr>
                <w:rFonts w:eastAsia="Calibri"/>
                <w:sz w:val="22"/>
                <w:szCs w:val="22"/>
                <w:lang w:val="en-US"/>
              </w:rPr>
            </w:pPr>
            <w:r>
              <w:rPr>
                <w:rFonts w:eastAsia="Calibri"/>
                <w:sz w:val="22"/>
                <w:szCs w:val="22"/>
                <w:lang w:val="en-US"/>
              </w:rPr>
              <w:t>2</w:t>
            </w:r>
          </w:p>
        </w:tc>
        <w:tc>
          <w:tcPr>
            <w:tcW w:w="2443" w:type="dxa"/>
          </w:tcPr>
          <w:p w14:paraId="037DD95B" w14:textId="77777777" w:rsidR="006B4B87" w:rsidRPr="002E7DF7" w:rsidRDefault="006B4B87" w:rsidP="006B4B87">
            <w:pPr>
              <w:spacing w:after="0"/>
              <w:contextualSpacing/>
              <w:rPr>
                <w:rFonts w:eastAsia="Calibri"/>
                <w:sz w:val="22"/>
                <w:szCs w:val="22"/>
                <w:lang w:val="en-US"/>
              </w:rPr>
            </w:pPr>
            <w:r>
              <w:rPr>
                <w:rFonts w:eastAsia="Calibri"/>
                <w:sz w:val="22"/>
                <w:szCs w:val="22"/>
                <w:lang w:val="en-US"/>
              </w:rPr>
              <w:t>220 000</w:t>
            </w:r>
          </w:p>
        </w:tc>
      </w:tr>
      <w:tr w:rsidR="006B4B87" w:rsidRPr="002E7DF7" w14:paraId="716C9928" w14:textId="77777777" w:rsidTr="0080168F">
        <w:tc>
          <w:tcPr>
            <w:tcW w:w="3085" w:type="dxa"/>
          </w:tcPr>
          <w:p w14:paraId="6A35FB8B" w14:textId="77777777" w:rsidR="006B4B87" w:rsidRDefault="006B4B87" w:rsidP="006B4B87">
            <w:pPr>
              <w:spacing w:after="0"/>
              <w:contextualSpacing/>
              <w:rPr>
                <w:rFonts w:eastAsia="Calibri"/>
                <w:sz w:val="22"/>
                <w:lang w:val="en-US"/>
              </w:rPr>
            </w:pPr>
            <w:r>
              <w:rPr>
                <w:rFonts w:eastAsia="Calibri"/>
                <w:sz w:val="22"/>
                <w:lang w:val="en-US"/>
              </w:rPr>
              <w:t>SYKE</w:t>
            </w:r>
          </w:p>
          <w:p w14:paraId="33FFF311" w14:textId="77777777" w:rsidR="005F5AD0" w:rsidRPr="00813F35" w:rsidRDefault="005F5AD0" w:rsidP="006B4B87">
            <w:pPr>
              <w:spacing w:after="0"/>
              <w:contextualSpacing/>
              <w:rPr>
                <w:rFonts w:eastAsia="Calibri"/>
                <w:sz w:val="22"/>
                <w:szCs w:val="22"/>
                <w:lang w:val="en-US"/>
              </w:rPr>
            </w:pPr>
          </w:p>
        </w:tc>
        <w:tc>
          <w:tcPr>
            <w:tcW w:w="1701" w:type="dxa"/>
          </w:tcPr>
          <w:p w14:paraId="7D1C9868" w14:textId="77777777" w:rsidR="006B4B87" w:rsidRDefault="006B4B87" w:rsidP="006B4B87">
            <w:pPr>
              <w:spacing w:after="0"/>
              <w:contextualSpacing/>
              <w:rPr>
                <w:rFonts w:eastAsia="Calibri"/>
                <w:sz w:val="22"/>
                <w:szCs w:val="22"/>
                <w:lang w:val="en-US"/>
              </w:rPr>
            </w:pPr>
            <w:r>
              <w:rPr>
                <w:rFonts w:eastAsia="Calibri"/>
                <w:sz w:val="22"/>
                <w:szCs w:val="22"/>
                <w:lang w:val="en-US"/>
              </w:rPr>
              <w:t>0,2</w:t>
            </w:r>
          </w:p>
        </w:tc>
        <w:tc>
          <w:tcPr>
            <w:tcW w:w="2443" w:type="dxa"/>
          </w:tcPr>
          <w:p w14:paraId="4D0FC7B0" w14:textId="77777777" w:rsidR="006B4B87" w:rsidRDefault="006B4B87" w:rsidP="006B4B87">
            <w:pPr>
              <w:spacing w:after="0"/>
              <w:contextualSpacing/>
              <w:rPr>
                <w:rFonts w:eastAsia="Calibri"/>
                <w:sz w:val="22"/>
                <w:szCs w:val="22"/>
                <w:lang w:val="en-US"/>
              </w:rPr>
            </w:pPr>
            <w:r>
              <w:rPr>
                <w:rFonts w:eastAsia="Calibri"/>
                <w:sz w:val="22"/>
                <w:szCs w:val="22"/>
                <w:lang w:val="en-US"/>
              </w:rPr>
              <w:t>n/a</w:t>
            </w:r>
          </w:p>
        </w:tc>
      </w:tr>
      <w:tr w:rsidR="006B4B87" w:rsidRPr="002E7DF7" w14:paraId="381D2616" w14:textId="77777777" w:rsidTr="0080168F">
        <w:tc>
          <w:tcPr>
            <w:tcW w:w="3085" w:type="dxa"/>
          </w:tcPr>
          <w:p w14:paraId="6E3C74C9" w14:textId="77777777" w:rsidR="006B4B87" w:rsidRDefault="006B4B87" w:rsidP="006B4B87">
            <w:pPr>
              <w:spacing w:after="0"/>
              <w:contextualSpacing/>
              <w:rPr>
                <w:rFonts w:eastAsia="Calibri"/>
                <w:sz w:val="22"/>
                <w:szCs w:val="22"/>
                <w:lang w:val="en-US"/>
              </w:rPr>
            </w:pPr>
            <w:r>
              <w:rPr>
                <w:rFonts w:eastAsia="Calibri"/>
                <w:sz w:val="22"/>
                <w:szCs w:val="22"/>
                <w:lang w:val="en-US"/>
              </w:rPr>
              <w:t>Trafi</w:t>
            </w:r>
            <w:r w:rsidR="0069342D">
              <w:rPr>
                <w:rFonts w:eastAsia="Calibri"/>
                <w:sz w:val="22"/>
                <w:szCs w:val="22"/>
                <w:lang w:val="en-US"/>
              </w:rPr>
              <w:t>com</w:t>
            </w:r>
          </w:p>
          <w:p w14:paraId="20593A88" w14:textId="77777777" w:rsidR="005F5AD0" w:rsidRPr="002E7DF7" w:rsidRDefault="005F5AD0" w:rsidP="006B4B87">
            <w:pPr>
              <w:spacing w:after="0"/>
              <w:contextualSpacing/>
              <w:rPr>
                <w:rFonts w:eastAsia="Calibri"/>
                <w:sz w:val="22"/>
                <w:szCs w:val="22"/>
                <w:lang w:val="en-US"/>
              </w:rPr>
            </w:pPr>
          </w:p>
        </w:tc>
        <w:tc>
          <w:tcPr>
            <w:tcW w:w="1701" w:type="dxa"/>
          </w:tcPr>
          <w:p w14:paraId="1A274275" w14:textId="5858338D" w:rsidR="006B4B87" w:rsidRPr="00F90E1C" w:rsidRDefault="00E13EDD" w:rsidP="006B4B87">
            <w:pPr>
              <w:spacing w:after="0"/>
              <w:contextualSpacing/>
              <w:rPr>
                <w:rFonts w:eastAsia="Calibri"/>
                <w:sz w:val="22"/>
                <w:szCs w:val="22"/>
                <w:lang w:val="en-US"/>
              </w:rPr>
            </w:pPr>
            <w:r>
              <w:rPr>
                <w:rFonts w:eastAsia="Calibri"/>
                <w:sz w:val="22"/>
                <w:szCs w:val="22"/>
                <w:lang w:val="en-US"/>
              </w:rPr>
              <w:t>8</w:t>
            </w:r>
            <w:r w:rsidR="0069342D">
              <w:rPr>
                <w:rFonts w:eastAsia="Calibri"/>
                <w:sz w:val="22"/>
                <w:szCs w:val="22"/>
                <w:lang w:val="en-US"/>
              </w:rPr>
              <w:t>,6</w:t>
            </w:r>
          </w:p>
        </w:tc>
        <w:tc>
          <w:tcPr>
            <w:tcW w:w="2443" w:type="dxa"/>
          </w:tcPr>
          <w:p w14:paraId="6F2D4E2E" w14:textId="4ABE9877" w:rsidR="006B4B87" w:rsidRPr="00F90E1C" w:rsidRDefault="0069342D">
            <w:pPr>
              <w:spacing w:after="0"/>
              <w:contextualSpacing/>
              <w:rPr>
                <w:rFonts w:eastAsia="Calibri"/>
                <w:sz w:val="22"/>
                <w:szCs w:val="22"/>
                <w:lang w:val="en-US"/>
              </w:rPr>
            </w:pPr>
            <w:r>
              <w:rPr>
                <w:rFonts w:eastAsia="Calibri"/>
                <w:sz w:val="22"/>
                <w:szCs w:val="22"/>
                <w:lang w:val="en-US"/>
              </w:rPr>
              <w:t>1 </w:t>
            </w:r>
            <w:r w:rsidR="00E13EDD">
              <w:rPr>
                <w:rFonts w:eastAsia="Calibri"/>
                <w:sz w:val="22"/>
                <w:szCs w:val="22"/>
                <w:lang w:val="en-US"/>
              </w:rPr>
              <w:t>12</w:t>
            </w:r>
            <w:r>
              <w:rPr>
                <w:rFonts w:eastAsia="Calibri"/>
                <w:sz w:val="22"/>
                <w:szCs w:val="22"/>
                <w:lang w:val="en-US"/>
              </w:rPr>
              <w:t>2 000</w:t>
            </w:r>
          </w:p>
        </w:tc>
      </w:tr>
      <w:tr w:rsidR="006B4B87" w:rsidRPr="002E7DF7" w14:paraId="244F8705" w14:textId="77777777" w:rsidTr="0080168F">
        <w:tc>
          <w:tcPr>
            <w:tcW w:w="3085" w:type="dxa"/>
          </w:tcPr>
          <w:p w14:paraId="514AD8B5" w14:textId="77777777" w:rsidR="006B4B87" w:rsidRDefault="006B4B87" w:rsidP="006B4B87">
            <w:pPr>
              <w:spacing w:after="0"/>
              <w:contextualSpacing/>
              <w:rPr>
                <w:rFonts w:eastAsia="Calibri"/>
                <w:sz w:val="22"/>
                <w:szCs w:val="22"/>
                <w:lang w:val="en-US"/>
              </w:rPr>
            </w:pPr>
            <w:r>
              <w:rPr>
                <w:rFonts w:eastAsia="Calibri"/>
                <w:sz w:val="22"/>
                <w:szCs w:val="22"/>
                <w:lang w:val="en-US"/>
              </w:rPr>
              <w:t>Tukes</w:t>
            </w:r>
          </w:p>
          <w:p w14:paraId="3F6872DE" w14:textId="77777777" w:rsidR="005F5AD0" w:rsidRPr="002E7DF7" w:rsidRDefault="005F5AD0" w:rsidP="006B4B87">
            <w:pPr>
              <w:spacing w:after="0"/>
              <w:contextualSpacing/>
              <w:rPr>
                <w:rFonts w:eastAsia="Calibri"/>
                <w:sz w:val="22"/>
                <w:szCs w:val="22"/>
                <w:lang w:val="en-US"/>
              </w:rPr>
            </w:pPr>
          </w:p>
        </w:tc>
        <w:tc>
          <w:tcPr>
            <w:tcW w:w="1701" w:type="dxa"/>
          </w:tcPr>
          <w:p w14:paraId="250B83B2" w14:textId="77777777" w:rsidR="006B4B87" w:rsidRPr="002E7DF7" w:rsidRDefault="00BD2E45" w:rsidP="006B4B87">
            <w:pPr>
              <w:spacing w:after="0"/>
              <w:contextualSpacing/>
              <w:rPr>
                <w:rFonts w:eastAsia="Calibri"/>
                <w:sz w:val="22"/>
                <w:szCs w:val="22"/>
                <w:lang w:val="en-US"/>
              </w:rPr>
            </w:pPr>
            <w:r>
              <w:rPr>
                <w:rFonts w:eastAsia="Calibri"/>
                <w:sz w:val="22"/>
                <w:szCs w:val="22"/>
                <w:lang w:val="en-US"/>
              </w:rPr>
              <w:t>61</w:t>
            </w:r>
          </w:p>
        </w:tc>
        <w:tc>
          <w:tcPr>
            <w:tcW w:w="2443" w:type="dxa"/>
          </w:tcPr>
          <w:p w14:paraId="45C7FD5C" w14:textId="77777777" w:rsidR="006B4B87" w:rsidRPr="00752C7F" w:rsidRDefault="006B4B87" w:rsidP="006B4B87">
            <w:pPr>
              <w:spacing w:after="0"/>
              <w:contextualSpacing/>
              <w:rPr>
                <w:rFonts w:eastAsia="Calibri"/>
                <w:sz w:val="22"/>
                <w:szCs w:val="22"/>
                <w:lang w:val="en-US"/>
              </w:rPr>
            </w:pPr>
            <w:r>
              <w:rPr>
                <w:sz w:val="22"/>
              </w:rPr>
              <w:t>6 </w:t>
            </w:r>
            <w:r w:rsidR="00BD2E45">
              <w:rPr>
                <w:sz w:val="22"/>
              </w:rPr>
              <w:t>777</w:t>
            </w:r>
            <w:r>
              <w:rPr>
                <w:sz w:val="22"/>
              </w:rPr>
              <w:t xml:space="preserve"> </w:t>
            </w:r>
            <w:r w:rsidRPr="00752C7F">
              <w:rPr>
                <w:sz w:val="22"/>
              </w:rPr>
              <w:t>000</w:t>
            </w:r>
          </w:p>
        </w:tc>
      </w:tr>
      <w:tr w:rsidR="006B4B87" w:rsidRPr="002E7DF7" w14:paraId="7295B794" w14:textId="77777777" w:rsidTr="0080168F">
        <w:tc>
          <w:tcPr>
            <w:tcW w:w="3085" w:type="dxa"/>
          </w:tcPr>
          <w:p w14:paraId="19FB8111" w14:textId="77777777" w:rsidR="006B4B87" w:rsidRDefault="006B4B87" w:rsidP="002851F1">
            <w:pPr>
              <w:spacing w:after="0"/>
              <w:contextualSpacing/>
              <w:rPr>
                <w:rFonts w:eastAsia="Calibri"/>
                <w:sz w:val="22"/>
                <w:szCs w:val="22"/>
                <w:lang w:val="en-US"/>
              </w:rPr>
            </w:pPr>
            <w:proofErr w:type="spellStart"/>
            <w:r>
              <w:rPr>
                <w:rFonts w:eastAsia="Calibri"/>
                <w:sz w:val="22"/>
                <w:szCs w:val="22"/>
                <w:lang w:val="en-US"/>
              </w:rPr>
              <w:t>Tulli</w:t>
            </w:r>
            <w:proofErr w:type="spellEnd"/>
          </w:p>
          <w:p w14:paraId="60933022" w14:textId="77777777" w:rsidR="005F5AD0" w:rsidRPr="002E7DF7" w:rsidRDefault="005F5AD0" w:rsidP="002851F1">
            <w:pPr>
              <w:spacing w:after="0"/>
              <w:contextualSpacing/>
              <w:rPr>
                <w:rFonts w:eastAsia="Calibri"/>
                <w:sz w:val="22"/>
                <w:szCs w:val="22"/>
                <w:lang w:val="en-US"/>
              </w:rPr>
            </w:pPr>
          </w:p>
        </w:tc>
        <w:tc>
          <w:tcPr>
            <w:tcW w:w="1701" w:type="dxa"/>
          </w:tcPr>
          <w:p w14:paraId="09AA62B8" w14:textId="77777777" w:rsidR="006B4B87" w:rsidRPr="002E7DF7" w:rsidRDefault="006B4B87" w:rsidP="002851F1">
            <w:pPr>
              <w:spacing w:after="0"/>
              <w:contextualSpacing/>
              <w:rPr>
                <w:rFonts w:eastAsia="Calibri"/>
                <w:sz w:val="22"/>
                <w:szCs w:val="22"/>
                <w:lang w:val="en-US"/>
              </w:rPr>
            </w:pPr>
            <w:r>
              <w:rPr>
                <w:rFonts w:eastAsia="Calibri"/>
                <w:sz w:val="22"/>
                <w:szCs w:val="22"/>
                <w:lang w:val="en-US"/>
              </w:rPr>
              <w:t>18</w:t>
            </w:r>
          </w:p>
        </w:tc>
        <w:tc>
          <w:tcPr>
            <w:tcW w:w="2443" w:type="dxa"/>
          </w:tcPr>
          <w:p w14:paraId="6899E291" w14:textId="77777777" w:rsidR="006B4B87" w:rsidRPr="002E7DF7" w:rsidRDefault="006B4B87" w:rsidP="006B4B87">
            <w:pPr>
              <w:spacing w:after="0"/>
              <w:contextualSpacing/>
              <w:rPr>
                <w:rFonts w:eastAsia="Calibri"/>
                <w:sz w:val="22"/>
                <w:szCs w:val="22"/>
                <w:lang w:val="en-US"/>
              </w:rPr>
            </w:pPr>
            <w:r>
              <w:rPr>
                <w:rFonts w:eastAsia="Calibri"/>
                <w:sz w:val="22"/>
                <w:szCs w:val="22"/>
                <w:lang w:val="en-US"/>
              </w:rPr>
              <w:t>1 000 000</w:t>
            </w:r>
          </w:p>
        </w:tc>
      </w:tr>
    </w:tbl>
    <w:p w14:paraId="0B8C4D67" w14:textId="77777777" w:rsidR="002851F1" w:rsidRPr="002851F1" w:rsidRDefault="002851F1" w:rsidP="002851F1">
      <w:pPr>
        <w:rPr>
          <w:rFonts w:cs="Calibri"/>
          <w:b/>
        </w:rPr>
      </w:pPr>
    </w:p>
    <w:p w14:paraId="20821035" w14:textId="77777777" w:rsidR="00D90773" w:rsidRPr="00DE5199" w:rsidRDefault="00D90773" w:rsidP="002851F1">
      <w:pPr>
        <w:pStyle w:val="Otsikko2"/>
        <w:tabs>
          <w:tab w:val="clear" w:pos="2280"/>
        </w:tabs>
        <w:ind w:left="709"/>
      </w:pPr>
      <w:bookmarkStart w:id="5" w:name="_Toc392679018"/>
      <w:bookmarkStart w:id="6" w:name="_Toc33713630"/>
      <w:r>
        <w:t xml:space="preserve">Kansallisten markkinavalvontaviranomaisten </w:t>
      </w:r>
      <w:bookmarkEnd w:id="5"/>
      <w:r w:rsidR="00790412">
        <w:t>välinen koordinointi ja yhteistyö</w:t>
      </w:r>
      <w:bookmarkEnd w:id="6"/>
    </w:p>
    <w:p w14:paraId="38B4860A" w14:textId="519C28BE" w:rsidR="00F044B0" w:rsidRDefault="00F044B0" w:rsidP="00F044B0">
      <w:pPr>
        <w:ind w:left="1418"/>
        <w:rPr>
          <w:rFonts w:cs="Calibri"/>
          <w:sz w:val="22"/>
        </w:rPr>
      </w:pPr>
      <w:r w:rsidRPr="00F044B0">
        <w:rPr>
          <w:rFonts w:cs="Calibri"/>
          <w:sz w:val="22"/>
        </w:rPr>
        <w:t xml:space="preserve">Työ- ja elinkeinoministeriö hoitaa markkinavalvonnan koordinaatiotehtäviä ja vastaa </w:t>
      </w:r>
      <w:r>
        <w:rPr>
          <w:rFonts w:cs="Calibri"/>
          <w:sz w:val="22"/>
        </w:rPr>
        <w:t xml:space="preserve">EU:n </w:t>
      </w:r>
      <w:r w:rsidRPr="00F044B0">
        <w:rPr>
          <w:rFonts w:cs="Calibri"/>
          <w:sz w:val="22"/>
        </w:rPr>
        <w:t xml:space="preserve">akkreditointi- ja markkinavalvonta-asetuksen </w:t>
      </w:r>
      <w:r>
        <w:rPr>
          <w:rFonts w:cs="Calibri"/>
          <w:sz w:val="22"/>
        </w:rPr>
        <w:t xml:space="preserve">(765/2008/EY) </w:t>
      </w:r>
      <w:r w:rsidRPr="00F044B0">
        <w:rPr>
          <w:rFonts w:cs="Calibri"/>
          <w:sz w:val="22"/>
        </w:rPr>
        <w:lastRenderedPageBreak/>
        <w:t xml:space="preserve">kansallisen toimeenpanon koordinoinnista. Erillistä markkinavalvontaa koordinoivaa tai valtakunnallisesti ohjaavaa toimielintä ei </w:t>
      </w:r>
      <w:r>
        <w:rPr>
          <w:rFonts w:cs="Calibri"/>
          <w:sz w:val="22"/>
        </w:rPr>
        <w:t xml:space="preserve">työ- ja elinkeinoministeriön lisäksi </w:t>
      </w:r>
      <w:r w:rsidRPr="00F044B0">
        <w:rPr>
          <w:rFonts w:cs="Calibri"/>
          <w:sz w:val="22"/>
        </w:rPr>
        <w:t>ole</w:t>
      </w:r>
      <w:r>
        <w:rPr>
          <w:rFonts w:cs="Calibri"/>
          <w:sz w:val="22"/>
        </w:rPr>
        <w:t xml:space="preserve"> ja jokainen ministeriö on vastuussa markkinavalvonnasta omalla hallinnonalallaan</w:t>
      </w:r>
      <w:r w:rsidRPr="00F044B0">
        <w:rPr>
          <w:rFonts w:cs="Calibri"/>
          <w:sz w:val="22"/>
        </w:rPr>
        <w:t xml:space="preserve">. </w:t>
      </w:r>
      <w:r>
        <w:rPr>
          <w:rFonts w:cs="Calibri"/>
          <w:sz w:val="22"/>
        </w:rPr>
        <w:t xml:space="preserve">Työ- ja elinkeinoministeriö osallistuu komission </w:t>
      </w:r>
      <w:proofErr w:type="spellStart"/>
      <w:r>
        <w:rPr>
          <w:rFonts w:cs="Calibri"/>
          <w:sz w:val="22"/>
        </w:rPr>
        <w:t>Internal</w:t>
      </w:r>
      <w:proofErr w:type="spellEnd"/>
      <w:r>
        <w:rPr>
          <w:rFonts w:cs="Calibri"/>
          <w:sz w:val="22"/>
        </w:rPr>
        <w:t xml:space="preserve"> Market for Products –asiantuntijaryhmän kokouksiin (mukaan lukien markkinavalvontakokoukset) ja o</w:t>
      </w:r>
      <w:r w:rsidR="00B87AED">
        <w:rPr>
          <w:rFonts w:cs="Calibri"/>
          <w:sz w:val="22"/>
        </w:rPr>
        <w:t>li</w:t>
      </w:r>
      <w:r>
        <w:rPr>
          <w:rFonts w:cs="Calibri"/>
          <w:sz w:val="22"/>
        </w:rPr>
        <w:t xml:space="preserve"> vastuussa direktiivipaketin kansallisesta implementoinnista.</w:t>
      </w:r>
      <w:r w:rsidR="00B87AED">
        <w:rPr>
          <w:rFonts w:cs="Calibri"/>
          <w:sz w:val="22"/>
        </w:rPr>
        <w:t xml:space="preserve"> Työ- ja elinkeinoministeriö vastaa </w:t>
      </w:r>
      <w:r w:rsidR="00067D67">
        <w:rPr>
          <w:rFonts w:cs="Calibri"/>
          <w:sz w:val="22"/>
        </w:rPr>
        <w:t xml:space="preserve">myös käynnissä </w:t>
      </w:r>
      <w:r w:rsidR="00D7768F">
        <w:rPr>
          <w:rFonts w:cs="Calibri"/>
          <w:sz w:val="22"/>
        </w:rPr>
        <w:t xml:space="preserve">olevan täytäntöönpanohankkeen koordinoinnista </w:t>
      </w:r>
      <w:proofErr w:type="spellStart"/>
      <w:r w:rsidR="00D7768F">
        <w:rPr>
          <w:rFonts w:cs="Calibri"/>
          <w:sz w:val="22"/>
        </w:rPr>
        <w:t>littyen</w:t>
      </w:r>
      <w:proofErr w:type="spellEnd"/>
      <w:r w:rsidR="00D7768F">
        <w:rPr>
          <w:rFonts w:cs="Calibri"/>
          <w:sz w:val="22"/>
        </w:rPr>
        <w:t xml:space="preserve"> asetukseen (EU) 2019/1020 markkinavalvonnasta ja tuotteiden vaatimustenmukaisuudesta. </w:t>
      </w:r>
      <w:r>
        <w:rPr>
          <w:rFonts w:cs="Calibri"/>
          <w:sz w:val="22"/>
        </w:rPr>
        <w:t xml:space="preserve">Työ- ja elinkeinoministeriö on </w:t>
      </w:r>
      <w:r w:rsidR="00067D67">
        <w:rPr>
          <w:rFonts w:cs="Calibri"/>
          <w:sz w:val="22"/>
        </w:rPr>
        <w:t>lisäksi</w:t>
      </w:r>
      <w:r>
        <w:rPr>
          <w:rFonts w:cs="Calibri"/>
          <w:sz w:val="22"/>
        </w:rPr>
        <w:t xml:space="preserve"> vastuussa markkinavalvontaan liittyvän yhteistyön koordinoimisesta eri ministeriöiden välillä.</w:t>
      </w:r>
    </w:p>
    <w:p w14:paraId="0086FDBC" w14:textId="77777777" w:rsidR="00D70631" w:rsidRDefault="00D70631" w:rsidP="00F044B0">
      <w:pPr>
        <w:ind w:left="1418"/>
        <w:rPr>
          <w:rFonts w:cs="Calibri"/>
          <w:sz w:val="22"/>
        </w:rPr>
      </w:pPr>
      <w:r>
        <w:rPr>
          <w:rFonts w:cs="Calibri"/>
          <w:sz w:val="22"/>
        </w:rPr>
        <w:t>Työ- ja elinkeinoministeriön markkinavalvonnan koordinaatiotehtäviin liittyen ministeriö perusti huhtikuussa 2016 kansallisen Markkinavalvontafoorumin. Foorumi, joka on epämuodollinen keskustelu- ja tiedonjakoareena kaikille markkinavalvontaan liittyville asioille, koostuu suomalaisista markkinavalvontaviranomaisista ja vastuuministeriöistä sekä Tullista. Foorumin puheenjohtajana toimii työ- ja elinkeinoministeriö, ja sen sihteeritehtäviä hoitaa Tukes suurena markkinavalvontaviranomaisena.</w:t>
      </w:r>
      <w:r w:rsidR="00E75339">
        <w:rPr>
          <w:rFonts w:cs="Calibri"/>
          <w:sz w:val="22"/>
        </w:rPr>
        <w:t xml:space="preserve"> Tarkoitus on keskustelun </w:t>
      </w:r>
      <w:r w:rsidR="00DA5017">
        <w:rPr>
          <w:rFonts w:cs="Calibri"/>
          <w:sz w:val="22"/>
        </w:rPr>
        <w:t>ja tiedonjakamisen edistä</w:t>
      </w:r>
      <w:r w:rsidR="00E75339">
        <w:rPr>
          <w:rFonts w:cs="Calibri"/>
          <w:sz w:val="22"/>
        </w:rPr>
        <w:t xml:space="preserve">misen lisäksi hyödyttää </w:t>
      </w:r>
      <w:r w:rsidR="00DA5017">
        <w:rPr>
          <w:rFonts w:cs="Calibri"/>
          <w:sz w:val="22"/>
        </w:rPr>
        <w:t>edesauttaa</w:t>
      </w:r>
      <w:r w:rsidR="00E75339">
        <w:rPr>
          <w:rFonts w:cs="Calibri"/>
          <w:sz w:val="22"/>
        </w:rPr>
        <w:t xml:space="preserve"> koordinaatiota esim. IMP-MSG-kokouksissa esillä olevissa asioissa.</w:t>
      </w:r>
      <w:r w:rsidR="00827899" w:rsidRPr="00827899">
        <w:t xml:space="preserve"> </w:t>
      </w:r>
      <w:r w:rsidR="00827899" w:rsidRPr="00827899">
        <w:rPr>
          <w:rFonts w:cs="Calibri"/>
          <w:sz w:val="22"/>
        </w:rPr>
        <w:t>Uuden Markkinavalvontafoorumin odotetaan hyödyttävän merkittävästi markkina</w:t>
      </w:r>
      <w:r w:rsidR="00827899">
        <w:rPr>
          <w:rFonts w:cs="Calibri"/>
          <w:sz w:val="22"/>
        </w:rPr>
        <w:t>-</w:t>
      </w:r>
      <w:r w:rsidR="00827899" w:rsidRPr="00827899">
        <w:rPr>
          <w:rFonts w:cs="Calibri"/>
          <w:sz w:val="22"/>
        </w:rPr>
        <w:t>valvonnan koordinaatiota kansallisella tasolla ja viranomaisten välistä keskustelua markkinavalvontaan liittyvistä eri aiheista.</w:t>
      </w:r>
      <w:r w:rsidR="00DC4849">
        <w:rPr>
          <w:rFonts w:cs="Calibri"/>
          <w:sz w:val="22"/>
        </w:rPr>
        <w:t xml:space="preserve"> Foorumissa voidaan myös muodostaa erityisiä alajaostoja käsittelemään tiettyjä markkinavalvontaan liittyviä aiheita kuten </w:t>
      </w:r>
      <w:proofErr w:type="spellStart"/>
      <w:r w:rsidR="00156F7F">
        <w:rPr>
          <w:rFonts w:cs="Calibri"/>
          <w:sz w:val="22"/>
        </w:rPr>
        <w:t>Safety</w:t>
      </w:r>
      <w:proofErr w:type="spellEnd"/>
      <w:r w:rsidR="00156F7F">
        <w:rPr>
          <w:rFonts w:cs="Calibri"/>
          <w:sz w:val="22"/>
        </w:rPr>
        <w:t xml:space="preserve"> Gate (</w:t>
      </w:r>
      <w:proofErr w:type="spellStart"/>
      <w:r w:rsidR="00DC4849">
        <w:rPr>
          <w:rFonts w:cs="Calibri"/>
          <w:sz w:val="22"/>
        </w:rPr>
        <w:t>Rapex</w:t>
      </w:r>
      <w:proofErr w:type="spellEnd"/>
      <w:r w:rsidR="00156F7F">
        <w:rPr>
          <w:rFonts w:cs="Calibri"/>
          <w:sz w:val="22"/>
        </w:rPr>
        <w:t>)</w:t>
      </w:r>
      <w:r w:rsidR="00DC4849">
        <w:rPr>
          <w:rFonts w:cs="Calibri"/>
          <w:sz w:val="22"/>
        </w:rPr>
        <w:t>- ja ICSMS-järjestelmiä (aiheita, joita aiemmin käsiteltiin</w:t>
      </w:r>
      <w:r w:rsidR="0039338F">
        <w:rPr>
          <w:rFonts w:cs="Calibri"/>
          <w:sz w:val="22"/>
        </w:rPr>
        <w:t xml:space="preserve"> markkinavalvontaviranomaisten kesken</w:t>
      </w:r>
      <w:r w:rsidR="00DC4849">
        <w:rPr>
          <w:rFonts w:cs="Calibri"/>
          <w:sz w:val="22"/>
        </w:rPr>
        <w:t xml:space="preserve"> niin sanotussa </w:t>
      </w:r>
      <w:proofErr w:type="spellStart"/>
      <w:r w:rsidR="00DC4849">
        <w:rPr>
          <w:rFonts w:cs="Calibri"/>
          <w:sz w:val="22"/>
        </w:rPr>
        <w:t>Mativa</w:t>
      </w:r>
      <w:proofErr w:type="spellEnd"/>
      <w:r w:rsidR="00DC4849">
        <w:rPr>
          <w:rFonts w:cs="Calibri"/>
          <w:sz w:val="22"/>
        </w:rPr>
        <w:t>-verkostossa).</w:t>
      </w:r>
    </w:p>
    <w:p w14:paraId="55C0CF71" w14:textId="77777777" w:rsidR="00F044B0" w:rsidRDefault="00F044B0" w:rsidP="00F044B0">
      <w:pPr>
        <w:ind w:left="1418"/>
        <w:rPr>
          <w:rFonts w:cs="Calibri"/>
          <w:sz w:val="22"/>
        </w:rPr>
      </w:pPr>
      <w:r w:rsidRPr="00F044B0">
        <w:rPr>
          <w:rFonts w:cs="Calibri"/>
          <w:sz w:val="22"/>
        </w:rPr>
        <w:t xml:space="preserve">Työ- ja elinkeinoministeriön yhteydessä toimii vaatimustenmukaisuuden arviointiasiain neuvottelukunta, joka on käytännössä toiminut työ- ja elinkeinoministeriön tukena markkinavalvontaan liittyvien tehtävien koordinoinnissa. Neuvottelukunnassa on edustettuina eri hallinnonalojen markkinavalvontaviranomaisia ja keskeiset sidosryhmät. </w:t>
      </w:r>
    </w:p>
    <w:p w14:paraId="60E2FA17" w14:textId="77777777" w:rsidR="00F044B0" w:rsidRDefault="00F044B0" w:rsidP="00F044B0">
      <w:pPr>
        <w:ind w:left="1418"/>
        <w:rPr>
          <w:rFonts w:cs="Calibri"/>
          <w:sz w:val="22"/>
        </w:rPr>
      </w:pPr>
      <w:r>
        <w:rPr>
          <w:rFonts w:cs="Calibri"/>
          <w:sz w:val="22"/>
        </w:rPr>
        <w:t>Neuvottelukunta nimitetään kolmeksi vuodeksi kerrallaan, ja se toimii kahdessa eri jaostossa, joista toinen käsittelee markkinavalvontaan liittyviä asioita ja toinen akkreditointiin</w:t>
      </w:r>
      <w:r w:rsidR="005D3FB2">
        <w:rPr>
          <w:rFonts w:cs="Calibri"/>
          <w:sz w:val="22"/>
        </w:rPr>
        <w:t xml:space="preserve"> liittyviä asioita</w:t>
      </w:r>
      <w:r>
        <w:rPr>
          <w:rFonts w:cs="Calibri"/>
          <w:sz w:val="22"/>
        </w:rPr>
        <w:t>. Jaostojen toimintaa koordinoi työjaosto. Jaostot kokoontuvat keskimäärin neljä kertaa vuodessa.</w:t>
      </w:r>
    </w:p>
    <w:p w14:paraId="7EA13A10" w14:textId="77777777" w:rsidR="00F044B0" w:rsidRDefault="00F044B0" w:rsidP="00F044B0">
      <w:pPr>
        <w:ind w:left="1418"/>
        <w:rPr>
          <w:rFonts w:cs="Calibri"/>
          <w:sz w:val="22"/>
        </w:rPr>
      </w:pPr>
      <w:r>
        <w:rPr>
          <w:rFonts w:cs="Calibri"/>
          <w:sz w:val="22"/>
        </w:rPr>
        <w:t>Neuvottelukunnan tehtävänä on:</w:t>
      </w:r>
    </w:p>
    <w:p w14:paraId="0A3D85BB" w14:textId="77777777" w:rsidR="00F044B0" w:rsidRDefault="00F044B0" w:rsidP="00BA550D">
      <w:pPr>
        <w:numPr>
          <w:ilvl w:val="0"/>
          <w:numId w:val="40"/>
        </w:numPr>
        <w:ind w:left="1843" w:hanging="284"/>
        <w:contextualSpacing/>
        <w:rPr>
          <w:rFonts w:cs="Calibri"/>
          <w:sz w:val="22"/>
        </w:rPr>
      </w:pPr>
      <w:r>
        <w:rPr>
          <w:rFonts w:cs="Calibri"/>
          <w:sz w:val="22"/>
        </w:rPr>
        <w:t>seurata akkreditointijärjestelmän toimintaa ja tehdä esityksiä sen kehittämiseksi</w:t>
      </w:r>
      <w:r w:rsidR="00BA550D">
        <w:rPr>
          <w:rFonts w:cs="Calibri"/>
          <w:sz w:val="22"/>
        </w:rPr>
        <w:t>;</w:t>
      </w:r>
    </w:p>
    <w:p w14:paraId="75400B9B" w14:textId="77777777" w:rsidR="00F044B0" w:rsidRDefault="00F044B0" w:rsidP="00BA550D">
      <w:pPr>
        <w:numPr>
          <w:ilvl w:val="0"/>
          <w:numId w:val="40"/>
        </w:numPr>
        <w:ind w:left="1843" w:hanging="284"/>
        <w:contextualSpacing/>
        <w:rPr>
          <w:rFonts w:cs="Calibri"/>
          <w:sz w:val="22"/>
        </w:rPr>
      </w:pPr>
      <w:r>
        <w:rPr>
          <w:rFonts w:cs="Calibri"/>
          <w:sz w:val="22"/>
        </w:rPr>
        <w:t>seurata muuta asetuksessa 765/2008/EY mainittua pätevyyden arviointi- ja toteamistoimintaa sekä tehdä esityksiä niiden kehittämiseksi ja yhdenmukaistamiseksi</w:t>
      </w:r>
      <w:r w:rsidR="00BA550D">
        <w:rPr>
          <w:rFonts w:cs="Calibri"/>
          <w:sz w:val="22"/>
        </w:rPr>
        <w:t>;</w:t>
      </w:r>
    </w:p>
    <w:p w14:paraId="350A2DC0" w14:textId="77777777" w:rsidR="00F044B0" w:rsidRDefault="00F044B0" w:rsidP="00BA550D">
      <w:pPr>
        <w:numPr>
          <w:ilvl w:val="0"/>
          <w:numId w:val="40"/>
        </w:numPr>
        <w:ind w:left="1843" w:hanging="284"/>
        <w:contextualSpacing/>
        <w:rPr>
          <w:rFonts w:cs="Calibri"/>
          <w:sz w:val="22"/>
        </w:rPr>
      </w:pPr>
      <w:r>
        <w:rPr>
          <w:rFonts w:cs="Calibri"/>
          <w:sz w:val="22"/>
        </w:rPr>
        <w:t>seurata tuote- ja olosuhdevalvontatoimintaa ja tehdä esityksiä näitä koskevien pätevyyden toteamismenettelyjen kehittämiseksi ja yhdenmukaistamiseksi</w:t>
      </w:r>
      <w:r w:rsidR="00BA550D">
        <w:rPr>
          <w:rFonts w:cs="Calibri"/>
          <w:sz w:val="22"/>
        </w:rPr>
        <w:t>;</w:t>
      </w:r>
    </w:p>
    <w:p w14:paraId="6289DCB7" w14:textId="77777777" w:rsidR="00F044B0" w:rsidRDefault="00F044B0" w:rsidP="00BA550D">
      <w:pPr>
        <w:numPr>
          <w:ilvl w:val="0"/>
          <w:numId w:val="40"/>
        </w:numPr>
        <w:ind w:left="1843" w:hanging="284"/>
        <w:contextualSpacing/>
        <w:rPr>
          <w:rFonts w:cs="Calibri"/>
          <w:sz w:val="22"/>
        </w:rPr>
      </w:pPr>
      <w:r>
        <w:rPr>
          <w:rFonts w:cs="Calibri"/>
          <w:sz w:val="22"/>
        </w:rPr>
        <w:t>antaa lausuntonsa toiminnassa noudatettaviksi tarkoitetuista vaatimuksista sekä pyydettäessä muista akkreditointia koskevista asioista</w:t>
      </w:r>
      <w:r w:rsidR="00BA550D">
        <w:rPr>
          <w:rFonts w:cs="Calibri"/>
          <w:sz w:val="22"/>
        </w:rPr>
        <w:t>;</w:t>
      </w:r>
    </w:p>
    <w:p w14:paraId="5DE53AA3" w14:textId="77777777" w:rsidR="00F044B0" w:rsidRDefault="00F044B0" w:rsidP="00BA550D">
      <w:pPr>
        <w:numPr>
          <w:ilvl w:val="0"/>
          <w:numId w:val="40"/>
        </w:numPr>
        <w:ind w:left="1843" w:hanging="284"/>
        <w:contextualSpacing/>
        <w:rPr>
          <w:rFonts w:cs="Calibri"/>
          <w:sz w:val="22"/>
        </w:rPr>
      </w:pPr>
      <w:r>
        <w:rPr>
          <w:rFonts w:cs="Calibri"/>
          <w:sz w:val="22"/>
        </w:rPr>
        <w:t>tehdä esityksiä toimintaa koskevan kotimaisen ja kansainvälisen yhteistoiminnan edistämiseksi</w:t>
      </w:r>
      <w:r w:rsidR="00BA550D">
        <w:rPr>
          <w:rFonts w:cs="Calibri"/>
          <w:sz w:val="22"/>
        </w:rPr>
        <w:t>;</w:t>
      </w:r>
    </w:p>
    <w:p w14:paraId="3E07571B" w14:textId="77777777" w:rsidR="00F044B0" w:rsidRDefault="00F044B0" w:rsidP="00BA550D">
      <w:pPr>
        <w:numPr>
          <w:ilvl w:val="0"/>
          <w:numId w:val="40"/>
        </w:numPr>
        <w:ind w:left="1843" w:hanging="284"/>
        <w:contextualSpacing/>
        <w:rPr>
          <w:rFonts w:cs="Calibri"/>
          <w:sz w:val="22"/>
        </w:rPr>
      </w:pPr>
      <w:r>
        <w:rPr>
          <w:rFonts w:cs="Calibri"/>
          <w:sz w:val="22"/>
        </w:rPr>
        <w:t>tehdä esityksiä koulutus- ja tiedotustoiminnan järjestämiseksi</w:t>
      </w:r>
      <w:r w:rsidR="00BA550D">
        <w:rPr>
          <w:rFonts w:cs="Calibri"/>
          <w:sz w:val="22"/>
        </w:rPr>
        <w:t xml:space="preserve"> ja </w:t>
      </w:r>
    </w:p>
    <w:p w14:paraId="3AA5831F" w14:textId="77777777" w:rsidR="00F044B0" w:rsidRDefault="00F044B0" w:rsidP="00BA550D">
      <w:pPr>
        <w:numPr>
          <w:ilvl w:val="0"/>
          <w:numId w:val="40"/>
        </w:numPr>
        <w:ind w:left="1843" w:hanging="284"/>
        <w:contextualSpacing/>
        <w:rPr>
          <w:rFonts w:cs="Calibri"/>
          <w:sz w:val="22"/>
        </w:rPr>
      </w:pPr>
      <w:r>
        <w:rPr>
          <w:rFonts w:cs="Calibri"/>
          <w:sz w:val="22"/>
        </w:rPr>
        <w:t>suorittaa muita sille erikseen annettuja tehtäviä.</w:t>
      </w:r>
    </w:p>
    <w:p w14:paraId="7AA40DB5" w14:textId="77777777" w:rsidR="00BA550D" w:rsidRDefault="00BA550D" w:rsidP="00BA550D">
      <w:pPr>
        <w:ind w:left="1843"/>
        <w:contextualSpacing/>
        <w:rPr>
          <w:rFonts w:cs="Calibri"/>
          <w:sz w:val="22"/>
        </w:rPr>
      </w:pPr>
    </w:p>
    <w:p w14:paraId="02AEC39B" w14:textId="77777777" w:rsidR="00BA550D" w:rsidRPr="00E975E9" w:rsidRDefault="00BA550D" w:rsidP="00BA550D">
      <w:pPr>
        <w:ind w:left="1418"/>
        <w:rPr>
          <w:rFonts w:cs="Calibri"/>
          <w:sz w:val="22"/>
          <w:szCs w:val="22"/>
        </w:rPr>
      </w:pPr>
      <w:r w:rsidRPr="00E975E9">
        <w:rPr>
          <w:rFonts w:cs="Calibri"/>
          <w:sz w:val="22"/>
          <w:szCs w:val="22"/>
        </w:rPr>
        <w:lastRenderedPageBreak/>
        <w:t>Työ- ja elinkeinoministeriön yhteydessä toimii myös kuluttajaturvallisuusasiain neuvottelukunta, sähköturvallisuuden neuvottelukunta</w:t>
      </w:r>
      <w:r w:rsidR="00140843">
        <w:rPr>
          <w:rFonts w:cs="Calibri"/>
          <w:sz w:val="22"/>
          <w:szCs w:val="22"/>
        </w:rPr>
        <w:t>, metrologian neuvottelukunta</w:t>
      </w:r>
      <w:r w:rsidRPr="00E975E9">
        <w:rPr>
          <w:rFonts w:cs="Calibri"/>
          <w:sz w:val="22"/>
          <w:szCs w:val="22"/>
        </w:rPr>
        <w:t xml:space="preserve"> sekä turvallisuustekniikan neuvottelukunta.</w:t>
      </w:r>
    </w:p>
    <w:p w14:paraId="0592C5B0" w14:textId="77777777" w:rsidR="0088671C" w:rsidRDefault="0088671C" w:rsidP="00BA550D">
      <w:pPr>
        <w:pStyle w:val="Otsikko2"/>
        <w:tabs>
          <w:tab w:val="clear" w:pos="2280"/>
        </w:tabs>
        <w:ind w:left="0" w:firstLine="0"/>
      </w:pPr>
      <w:bookmarkStart w:id="7" w:name="_Toc392679019"/>
      <w:bookmarkStart w:id="8" w:name="_Toc33713631"/>
      <w:r>
        <w:t>Kansallisten markkinavalvontaviranomaisten ja tullin yhteistyö</w:t>
      </w:r>
      <w:bookmarkEnd w:id="7"/>
      <w:bookmarkEnd w:id="8"/>
    </w:p>
    <w:p w14:paraId="6AB6A324" w14:textId="77777777" w:rsidR="000C632E" w:rsidRPr="00E975E9" w:rsidRDefault="000C632E" w:rsidP="008D1B23">
      <w:pPr>
        <w:ind w:left="1418"/>
        <w:rPr>
          <w:sz w:val="22"/>
        </w:rPr>
      </w:pPr>
      <w:bookmarkStart w:id="9" w:name="_Toc392679020"/>
      <w:r w:rsidRPr="00E975E9">
        <w:rPr>
          <w:sz w:val="22"/>
        </w:rPr>
        <w:t>Tulli ja markkinavalvontaviranomaiset tekevät säännöllistä valvontayhteistyötä hyödyntäen Tullin järjestelmiin asetettavia poimintaehtoja ja riskisääntöjä.</w:t>
      </w:r>
    </w:p>
    <w:p w14:paraId="7B9D815E" w14:textId="6ED3F28A" w:rsidR="008D1B23" w:rsidRPr="008D1B23" w:rsidRDefault="008D1B23" w:rsidP="008D1B23">
      <w:pPr>
        <w:ind w:left="1418"/>
        <w:rPr>
          <w:rFonts w:cs="Calibri"/>
          <w:sz w:val="22"/>
        </w:rPr>
      </w:pPr>
      <w:r w:rsidRPr="008D1B23">
        <w:rPr>
          <w:rFonts w:cs="Calibri"/>
          <w:sz w:val="22"/>
        </w:rPr>
        <w:t xml:space="preserve">Erityisen tärkeä yhteistyön alue on markkinavalvontaviranomaisten ja tulliviranomaisten välinen yhteistyö, jolla on tarkoitus toteuttaa </w:t>
      </w:r>
      <w:r>
        <w:rPr>
          <w:rFonts w:cs="Calibri"/>
          <w:sz w:val="22"/>
        </w:rPr>
        <w:t xml:space="preserve">EU:n </w:t>
      </w:r>
      <w:r w:rsidRPr="008D1B23">
        <w:rPr>
          <w:rFonts w:cs="Calibri"/>
          <w:sz w:val="22"/>
        </w:rPr>
        <w:t>akkreditointi- ja markkinavalvonta-asetuksen artiklojen 27 – 29 sääntelyä. Tullin ja markkinavalvontaviranomaisten yhteistyönä toteuttamalla riskiperusteisella kolmasmaavalvonnalla pyritään estämään määräystenvastaisten tuotteiden pääsy sisämarkkinoille (markkinoille saattaminen). Lisäksi kuluttajatuotteiden osalta tulli toimii joillain sektoreilla</w:t>
      </w:r>
      <w:r>
        <w:rPr>
          <w:rFonts w:cs="Calibri"/>
          <w:sz w:val="22"/>
        </w:rPr>
        <w:t xml:space="preserve"> (lelut, kemikaalit, kosmetiikka ja kulutustavarat)</w:t>
      </w:r>
      <w:r w:rsidRPr="008D1B23">
        <w:rPr>
          <w:rFonts w:cs="Calibri"/>
          <w:sz w:val="22"/>
        </w:rPr>
        <w:t xml:space="preserve"> laissa säädettynä toimivaltaisena valvontaviranomaisena maahan tuonnin yhteydessä, tietyin rajoituksin myös tuotaessa tuotteita muista jäsenmaista. </w:t>
      </w:r>
      <w:r w:rsidR="00067D67">
        <w:rPr>
          <w:rFonts w:cs="Calibri"/>
          <w:sz w:val="22"/>
        </w:rPr>
        <w:t xml:space="preserve"> </w:t>
      </w:r>
      <w:r w:rsidR="00156F7F">
        <w:rPr>
          <w:rFonts w:cs="Calibri"/>
          <w:sz w:val="22"/>
        </w:rPr>
        <w:t xml:space="preserve">Kemikaalilaki, kuluttajansuojalaki ja laki kosmeettisista valmisteista antavat </w:t>
      </w:r>
      <w:r w:rsidR="00067D67">
        <w:rPr>
          <w:rFonts w:cs="Calibri"/>
          <w:sz w:val="22"/>
        </w:rPr>
        <w:t>Tullille valtuudet päättää siitä, onko tuotteen tuonti, vienti tai kuljetus sallittu.</w:t>
      </w:r>
    </w:p>
    <w:p w14:paraId="6478FA3E" w14:textId="77777777" w:rsidR="00FD646B" w:rsidRDefault="00F506A3" w:rsidP="00BA550D">
      <w:pPr>
        <w:pStyle w:val="Otsikko2"/>
        <w:tabs>
          <w:tab w:val="clear" w:pos="2280"/>
        </w:tabs>
        <w:ind w:left="0" w:firstLine="0"/>
      </w:pPr>
      <w:bookmarkStart w:id="10" w:name="_Toc33713632"/>
      <w:r>
        <w:t xml:space="preserve">Nopea tietojenvaihtojärjestelmä </w:t>
      </w:r>
      <w:proofErr w:type="spellStart"/>
      <w:r w:rsidR="00156F7F">
        <w:t>Safety</w:t>
      </w:r>
      <w:proofErr w:type="spellEnd"/>
      <w:r w:rsidR="00156F7F">
        <w:t xml:space="preserve"> Gate (</w:t>
      </w:r>
      <w:r>
        <w:t>RAPEX</w:t>
      </w:r>
      <w:bookmarkEnd w:id="9"/>
      <w:r w:rsidR="00156F7F">
        <w:t>)</w:t>
      </w:r>
      <w:bookmarkEnd w:id="10"/>
    </w:p>
    <w:p w14:paraId="1025098C" w14:textId="3518A217" w:rsidR="008D1B23" w:rsidRPr="008D1B23" w:rsidRDefault="008D1B23" w:rsidP="008D1B23">
      <w:pPr>
        <w:pStyle w:val="Text2"/>
        <w:tabs>
          <w:tab w:val="clear" w:pos="2302"/>
        </w:tabs>
        <w:ind w:left="1418"/>
        <w:rPr>
          <w:sz w:val="20"/>
        </w:rPr>
      </w:pPr>
      <w:r w:rsidRPr="008D1B23">
        <w:rPr>
          <w:rFonts w:cs="Calibri"/>
          <w:sz w:val="22"/>
        </w:rPr>
        <w:t>Yleisen tuoteturvallisuusdirektiivin (</w:t>
      </w:r>
      <w:r w:rsidR="005F5AD0">
        <w:rPr>
          <w:rFonts w:cs="Calibri"/>
          <w:sz w:val="22"/>
        </w:rPr>
        <w:t>2001/95</w:t>
      </w:r>
      <w:r w:rsidRPr="008D1B23">
        <w:rPr>
          <w:rFonts w:cs="Calibri"/>
          <w:sz w:val="22"/>
        </w:rPr>
        <w:t xml:space="preserve">/EY) sekä akkreditointi- ja markkinavalvonta-asetuksen tarkoittamaa markkinavalvontaa tekevät viranomaiset ovat velvollisia tekemään näiden säädösten edellyttämiä ilmoituksia Euroopan komissiolle </w:t>
      </w:r>
      <w:proofErr w:type="spellStart"/>
      <w:r w:rsidR="00156F7F">
        <w:rPr>
          <w:rFonts w:cs="Calibri"/>
          <w:sz w:val="22"/>
        </w:rPr>
        <w:t>Safety</w:t>
      </w:r>
      <w:proofErr w:type="spellEnd"/>
      <w:r w:rsidR="00156F7F">
        <w:rPr>
          <w:rFonts w:cs="Calibri"/>
          <w:sz w:val="22"/>
        </w:rPr>
        <w:t xml:space="preserve"> Gate (</w:t>
      </w:r>
      <w:r w:rsidRPr="008D1B23">
        <w:rPr>
          <w:rFonts w:cs="Calibri"/>
          <w:sz w:val="22"/>
        </w:rPr>
        <w:t>R</w:t>
      </w:r>
      <w:r w:rsidR="005D3FB2">
        <w:rPr>
          <w:rFonts w:cs="Calibri"/>
          <w:sz w:val="22"/>
        </w:rPr>
        <w:t>APEX</w:t>
      </w:r>
      <w:r w:rsidR="00156F7F">
        <w:rPr>
          <w:rFonts w:cs="Calibri"/>
          <w:sz w:val="22"/>
        </w:rPr>
        <w:t>)</w:t>
      </w:r>
      <w:r w:rsidRPr="008D1B23">
        <w:rPr>
          <w:rFonts w:cs="Calibri"/>
          <w:sz w:val="22"/>
        </w:rPr>
        <w:t>- ja ICSMS-järjestelmiin.</w:t>
      </w:r>
      <w:r>
        <w:rPr>
          <w:rFonts w:cs="Calibri"/>
          <w:sz w:val="22"/>
        </w:rPr>
        <w:t xml:space="preserve"> Suomessa kansallisena </w:t>
      </w:r>
      <w:proofErr w:type="spellStart"/>
      <w:r w:rsidR="00156F7F">
        <w:rPr>
          <w:rFonts w:cs="Calibri"/>
          <w:sz w:val="22"/>
        </w:rPr>
        <w:t>Safety</w:t>
      </w:r>
      <w:proofErr w:type="spellEnd"/>
      <w:r w:rsidR="00156F7F">
        <w:rPr>
          <w:rFonts w:cs="Calibri"/>
          <w:sz w:val="22"/>
        </w:rPr>
        <w:t xml:space="preserve"> Gate (RAPEX)</w:t>
      </w:r>
      <w:r>
        <w:rPr>
          <w:rFonts w:cs="Calibri"/>
          <w:sz w:val="22"/>
        </w:rPr>
        <w:t>-yhteyspisteenä toimii</w:t>
      </w:r>
      <w:r w:rsidR="002E5FC4">
        <w:rPr>
          <w:rFonts w:cs="Calibri"/>
          <w:sz w:val="22"/>
        </w:rPr>
        <w:t xml:space="preserve"> Turvallisuus- ja kemikaalivirasto. Vuonna 2012 </w:t>
      </w:r>
      <w:proofErr w:type="spellStart"/>
      <w:r w:rsidR="00156F7F">
        <w:rPr>
          <w:rFonts w:cs="Calibri"/>
          <w:sz w:val="22"/>
        </w:rPr>
        <w:t>Safety</w:t>
      </w:r>
      <w:proofErr w:type="spellEnd"/>
      <w:r w:rsidR="00156F7F">
        <w:rPr>
          <w:rFonts w:cs="Calibri"/>
          <w:sz w:val="22"/>
        </w:rPr>
        <w:t xml:space="preserve"> Gate (RAPEX)</w:t>
      </w:r>
      <w:r w:rsidR="002E5FC4">
        <w:rPr>
          <w:rFonts w:cs="Calibri"/>
          <w:sz w:val="22"/>
        </w:rPr>
        <w:t>-järjestelmä laajennettiin koskemaan myös ammattikäyttöön tarkoitettuja tuotteita. Kaikki luvussa 1.1 mainitut markkinavalvontaviranomaiset (</w:t>
      </w:r>
      <w:r w:rsidR="00DB08D7">
        <w:rPr>
          <w:rFonts w:cs="Calibri"/>
          <w:sz w:val="22"/>
        </w:rPr>
        <w:t xml:space="preserve">lukuun ottamatta </w:t>
      </w:r>
      <w:r w:rsidR="004056D2">
        <w:rPr>
          <w:rFonts w:cs="Calibri"/>
          <w:sz w:val="22"/>
        </w:rPr>
        <w:t xml:space="preserve">Lääkealan turvallisuus- ja kehittämiskeskus </w:t>
      </w:r>
      <w:proofErr w:type="spellStart"/>
      <w:r w:rsidR="004056D2">
        <w:rPr>
          <w:rFonts w:cs="Calibri"/>
          <w:sz w:val="22"/>
        </w:rPr>
        <w:t>Fimeaa</w:t>
      </w:r>
      <w:proofErr w:type="spellEnd"/>
      <w:r w:rsidR="00DB08D7">
        <w:rPr>
          <w:rFonts w:cs="Calibri"/>
          <w:sz w:val="22"/>
        </w:rPr>
        <w:t xml:space="preserve">, joka käyttää lääkinnällisten laitteiden osalta </w:t>
      </w:r>
      <w:proofErr w:type="spellStart"/>
      <w:r w:rsidR="00DB08D7">
        <w:rPr>
          <w:rFonts w:cs="Calibri"/>
          <w:sz w:val="22"/>
        </w:rPr>
        <w:t>Vigilance</w:t>
      </w:r>
      <w:proofErr w:type="spellEnd"/>
      <w:r w:rsidR="00DB08D7">
        <w:rPr>
          <w:rFonts w:cs="Calibri"/>
          <w:sz w:val="22"/>
        </w:rPr>
        <w:t>-järjestelmää</w:t>
      </w:r>
      <w:r w:rsidR="002E5FC4">
        <w:rPr>
          <w:rFonts w:cs="Calibri"/>
          <w:sz w:val="22"/>
        </w:rPr>
        <w:t xml:space="preserve">) </w:t>
      </w:r>
      <w:r w:rsidR="00DB08D7">
        <w:rPr>
          <w:rFonts w:cs="Calibri"/>
          <w:sz w:val="22"/>
        </w:rPr>
        <w:t xml:space="preserve">sekä Tulli </w:t>
      </w:r>
      <w:r w:rsidR="002E5FC4">
        <w:rPr>
          <w:rFonts w:cs="Calibri"/>
          <w:sz w:val="22"/>
        </w:rPr>
        <w:t xml:space="preserve">käyttävät </w:t>
      </w:r>
      <w:proofErr w:type="spellStart"/>
      <w:r w:rsidR="00156F7F">
        <w:rPr>
          <w:rFonts w:cs="Calibri"/>
          <w:sz w:val="22"/>
        </w:rPr>
        <w:t>Safety</w:t>
      </w:r>
      <w:proofErr w:type="spellEnd"/>
      <w:r w:rsidR="00156F7F">
        <w:rPr>
          <w:rFonts w:cs="Calibri"/>
          <w:sz w:val="22"/>
        </w:rPr>
        <w:t xml:space="preserve"> Gate (RAPEX)</w:t>
      </w:r>
      <w:r w:rsidR="002E5FC4">
        <w:rPr>
          <w:rFonts w:cs="Calibri"/>
          <w:sz w:val="22"/>
        </w:rPr>
        <w:t>-järjestelmää.</w:t>
      </w:r>
      <w:r w:rsidR="00067D67">
        <w:rPr>
          <w:rFonts w:cs="Calibri"/>
          <w:sz w:val="22"/>
        </w:rPr>
        <w:t xml:space="preserve"> RAPEX-järjestelmän julkisen version nimi muuttui marraskuussa 2018 EU </w:t>
      </w:r>
      <w:proofErr w:type="spellStart"/>
      <w:r w:rsidR="00067D67">
        <w:rPr>
          <w:rFonts w:cs="Calibri"/>
          <w:sz w:val="22"/>
        </w:rPr>
        <w:t>Safety</w:t>
      </w:r>
      <w:proofErr w:type="spellEnd"/>
      <w:r w:rsidR="00067D67">
        <w:rPr>
          <w:rFonts w:cs="Calibri"/>
          <w:sz w:val="22"/>
        </w:rPr>
        <w:t xml:space="preserve"> </w:t>
      </w:r>
      <w:r w:rsidR="00156F7F">
        <w:rPr>
          <w:rFonts w:cs="Calibri"/>
          <w:sz w:val="22"/>
        </w:rPr>
        <w:t>Gate</w:t>
      </w:r>
      <w:r w:rsidR="00067D67">
        <w:rPr>
          <w:rFonts w:cs="Calibri"/>
          <w:sz w:val="22"/>
        </w:rPr>
        <w:t xml:space="preserve"> –järjestelmäksi.</w:t>
      </w:r>
    </w:p>
    <w:p w14:paraId="77EBFE59" w14:textId="77777777" w:rsidR="00F506A3" w:rsidRPr="00DE5199" w:rsidRDefault="00125479" w:rsidP="008D1B23">
      <w:pPr>
        <w:pStyle w:val="Otsikko2"/>
        <w:tabs>
          <w:tab w:val="clear" w:pos="2280"/>
        </w:tabs>
        <w:ind w:left="0" w:firstLine="0"/>
      </w:pPr>
      <w:bookmarkStart w:id="11" w:name="_Toc392679021"/>
      <w:bookmarkStart w:id="12" w:name="_Toc33713633"/>
      <w:r>
        <w:t>ICSMS-tiedonvaihtojärjestelmä</w:t>
      </w:r>
      <w:bookmarkEnd w:id="11"/>
      <w:bookmarkEnd w:id="12"/>
    </w:p>
    <w:p w14:paraId="338988E7" w14:textId="21A28E26" w:rsidR="009C4414" w:rsidRDefault="002E5FC4" w:rsidP="002E5FC4">
      <w:pPr>
        <w:ind w:left="1418"/>
        <w:rPr>
          <w:sz w:val="22"/>
        </w:rPr>
      </w:pPr>
      <w:r w:rsidRPr="002E5FC4">
        <w:rPr>
          <w:sz w:val="22"/>
        </w:rPr>
        <w:t>ICSMS-</w:t>
      </w:r>
      <w:r>
        <w:rPr>
          <w:sz w:val="22"/>
        </w:rPr>
        <w:t>järjestelmää on käytetty Suomessa vuodesta 2012 alkaen.</w:t>
      </w:r>
      <w:r w:rsidR="008B0354">
        <w:rPr>
          <w:sz w:val="22"/>
        </w:rPr>
        <w:t xml:space="preserve"> Kemikaaleihin liittyvät tapaukset lisätään järjestelmään vuodesta 2019 alkaen.</w:t>
      </w:r>
      <w:r>
        <w:rPr>
          <w:sz w:val="22"/>
        </w:rPr>
        <w:t xml:space="preserve"> Suomen kansallinen ICSMS-yhteyspiste on Turvallisuus- ja kemikaalivirasto ja järjestelmää käyttävät kaikki luvussa 1.1 mainitut markkinavalvontaviranomaiset (</w:t>
      </w:r>
      <w:r w:rsidR="00DB08D7">
        <w:rPr>
          <w:rFonts w:cs="Calibri"/>
          <w:sz w:val="22"/>
        </w:rPr>
        <w:t>lukuun ottamatta</w:t>
      </w:r>
      <w:r w:rsidR="004056D2">
        <w:rPr>
          <w:rFonts w:cs="Calibri"/>
          <w:sz w:val="22"/>
        </w:rPr>
        <w:t xml:space="preserve"> Lääkealan turvallisuus- ja kehittämiskeskus </w:t>
      </w:r>
      <w:proofErr w:type="spellStart"/>
      <w:r w:rsidR="004056D2">
        <w:rPr>
          <w:rFonts w:cs="Calibri"/>
          <w:sz w:val="22"/>
        </w:rPr>
        <w:t>Fimeaa</w:t>
      </w:r>
      <w:proofErr w:type="spellEnd"/>
      <w:r w:rsidR="00DB08D7">
        <w:rPr>
          <w:rFonts w:cs="Calibri"/>
          <w:sz w:val="22"/>
        </w:rPr>
        <w:t>, joka käyttää COEN-ilmoitusjärjestelmää</w:t>
      </w:r>
      <w:r>
        <w:rPr>
          <w:sz w:val="22"/>
        </w:rPr>
        <w:t>)</w:t>
      </w:r>
      <w:r w:rsidR="00DB08D7">
        <w:rPr>
          <w:sz w:val="22"/>
        </w:rPr>
        <w:t xml:space="preserve"> sekä Tulli</w:t>
      </w:r>
      <w:r>
        <w:rPr>
          <w:sz w:val="22"/>
        </w:rPr>
        <w:t xml:space="preserve">. </w:t>
      </w:r>
    </w:p>
    <w:p w14:paraId="3E55E766" w14:textId="77777777" w:rsidR="002E5FC4" w:rsidRDefault="002E5FC4" w:rsidP="002E5FC4">
      <w:pPr>
        <w:ind w:left="1418"/>
        <w:rPr>
          <w:sz w:val="22"/>
        </w:rPr>
      </w:pPr>
      <w:r>
        <w:rPr>
          <w:sz w:val="22"/>
        </w:rPr>
        <w:t xml:space="preserve">Esimerkki kansallisesta markkinavalvonnan tietokannasta on </w:t>
      </w:r>
      <w:r w:rsidR="00707254">
        <w:rPr>
          <w:sz w:val="22"/>
        </w:rPr>
        <w:t xml:space="preserve">Tukesin </w:t>
      </w:r>
      <w:r>
        <w:rPr>
          <w:sz w:val="22"/>
        </w:rPr>
        <w:t>ylläpitämä Markkinavalvontarekisteri, joka sisältää tiedot niistä tuotteista, joiden myyntiä ja markkinointia Tukes on rajoittanut kolmen viime vuoden aikana. Rekisteriin kootaan myös toiminnanharjoittajien vapaaehtoisesti tekemät vaarallisia tuotteita koskevat takaisinvedot, markkinoilta poistamiset ja turvallisuustiedotteet. Tietokannassa julkaistaan tuotteita koskevat yksityiskohtaiset tiedot mukaan lukien tuotteen kuva, toiminnanharjoittajan yhteystiedot, toimenpiteiden syyt, tuotteisiin liittyvät vaarat tai puutteet sekä toimintaohjeet kuluttajille.</w:t>
      </w:r>
    </w:p>
    <w:p w14:paraId="009B19F6" w14:textId="77777777" w:rsidR="00330904" w:rsidRDefault="00986C01" w:rsidP="00716802">
      <w:pPr>
        <w:pStyle w:val="Otsikko2"/>
        <w:tabs>
          <w:tab w:val="clear" w:pos="2280"/>
        </w:tabs>
        <w:ind w:left="709"/>
      </w:pPr>
      <w:bookmarkStart w:id="13" w:name="_Toc392679022"/>
      <w:bookmarkStart w:id="14" w:name="_Toc33713634"/>
      <w:r>
        <w:lastRenderedPageBreak/>
        <w:t>Yleinen kuvaus markkinavalvontatoimista ja niihin liittyvistä menettelyistä</w:t>
      </w:r>
      <w:bookmarkEnd w:id="13"/>
      <w:bookmarkEnd w:id="14"/>
    </w:p>
    <w:p w14:paraId="593FA70A" w14:textId="0A91DB71" w:rsidR="000C632E" w:rsidRDefault="000C632E" w:rsidP="000C632E">
      <w:pPr>
        <w:pStyle w:val="Text2"/>
        <w:tabs>
          <w:tab w:val="clear" w:pos="2302"/>
        </w:tabs>
        <w:ind w:left="1418"/>
        <w:rPr>
          <w:rFonts w:cs="Calibri"/>
          <w:sz w:val="22"/>
        </w:rPr>
      </w:pPr>
      <w:r w:rsidRPr="000C632E">
        <w:rPr>
          <w:rFonts w:cs="Calibri"/>
          <w:sz w:val="22"/>
        </w:rPr>
        <w:t xml:space="preserve">Markkinavalvontaa toteutetaan sekä proaktiivisesti että reaktiivisesti. Proaktiivista valvontaa tehdään esim. erilaisina valvontahankkeina, jotka ovat usein valtakunnallisia, pohjoismaisia tai EU-tason yhteisprojekteja, </w:t>
      </w:r>
      <w:r w:rsidR="005D16C9">
        <w:rPr>
          <w:rFonts w:cs="Calibri"/>
          <w:sz w:val="22"/>
        </w:rPr>
        <w:t xml:space="preserve">sekä </w:t>
      </w:r>
      <w:r w:rsidRPr="000C632E">
        <w:rPr>
          <w:rFonts w:cs="Calibri"/>
          <w:sz w:val="22"/>
        </w:rPr>
        <w:t xml:space="preserve">kenttävalvontana, jossa tarkastukset kohdistetaan esim. liikkeissä </w:t>
      </w:r>
      <w:r w:rsidR="00A14389">
        <w:rPr>
          <w:rFonts w:cs="Calibri"/>
          <w:sz w:val="22"/>
        </w:rPr>
        <w:t xml:space="preserve">(mukaan lukien verkkokauppa) </w:t>
      </w:r>
      <w:r w:rsidRPr="000C632E">
        <w:rPr>
          <w:rFonts w:cs="Calibri"/>
          <w:sz w:val="22"/>
        </w:rPr>
        <w:t>myytäviin tuotteisiin tai työpaikoilla käytössä oleviin tuotteisiin. Reaktiivista valvontaa puolestaan tehdään mm. kuluttajilta, toiminnan</w:t>
      </w:r>
      <w:r>
        <w:rPr>
          <w:rFonts w:cs="Calibri"/>
          <w:sz w:val="22"/>
        </w:rPr>
        <w:t xml:space="preserve">harjoittajilta, </w:t>
      </w:r>
      <w:proofErr w:type="spellStart"/>
      <w:r w:rsidR="00156F7F">
        <w:rPr>
          <w:rFonts w:cs="Calibri"/>
          <w:sz w:val="22"/>
        </w:rPr>
        <w:t>Safety</w:t>
      </w:r>
      <w:proofErr w:type="spellEnd"/>
      <w:r w:rsidR="00156F7F">
        <w:rPr>
          <w:rFonts w:cs="Calibri"/>
          <w:sz w:val="22"/>
        </w:rPr>
        <w:t xml:space="preserve"> Gate (RAPEX)</w:t>
      </w:r>
      <w:r>
        <w:rPr>
          <w:rFonts w:cs="Calibri"/>
          <w:sz w:val="22"/>
        </w:rPr>
        <w:t>- ja ICSMS-</w:t>
      </w:r>
      <w:r w:rsidRPr="000C632E">
        <w:rPr>
          <w:rFonts w:cs="Calibri"/>
          <w:sz w:val="22"/>
        </w:rPr>
        <w:t xml:space="preserve">tietojenvaihtojärjestelmistä tai joskus </w:t>
      </w:r>
      <w:r w:rsidR="00CF36E9" w:rsidRPr="000C632E">
        <w:rPr>
          <w:rFonts w:cs="Calibri"/>
          <w:sz w:val="22"/>
        </w:rPr>
        <w:t xml:space="preserve">Business </w:t>
      </w:r>
      <w:proofErr w:type="spellStart"/>
      <w:r w:rsidR="008B0354">
        <w:rPr>
          <w:rFonts w:cs="Calibri"/>
          <w:sz w:val="22"/>
        </w:rPr>
        <w:t>Gateway</w:t>
      </w:r>
      <w:proofErr w:type="spellEnd"/>
      <w:r w:rsidR="00CF36E9" w:rsidRPr="000C632E">
        <w:rPr>
          <w:rFonts w:cs="Calibri"/>
          <w:sz w:val="22"/>
        </w:rPr>
        <w:t xml:space="preserve"> -ilmoitusjärjestelmästä</w:t>
      </w:r>
      <w:r w:rsidRPr="000C632E">
        <w:rPr>
          <w:rFonts w:cs="Calibri"/>
          <w:sz w:val="22"/>
        </w:rPr>
        <w:t xml:space="preserve"> saatavien tietojen perusteella sekä tapahtuneiden onnettomuuksien tai tapaturmien seurauksena.</w:t>
      </w:r>
    </w:p>
    <w:p w14:paraId="79F81F12" w14:textId="77777777" w:rsidR="00A63577" w:rsidRPr="00603115" w:rsidRDefault="000C632E" w:rsidP="00603115">
      <w:pPr>
        <w:pStyle w:val="Text2"/>
        <w:tabs>
          <w:tab w:val="clear" w:pos="2302"/>
        </w:tabs>
        <w:ind w:left="1418"/>
        <w:rPr>
          <w:rFonts w:cs="Calibri"/>
          <w:sz w:val="22"/>
          <w:szCs w:val="22"/>
        </w:rPr>
      </w:pPr>
      <w:r w:rsidRPr="00603115">
        <w:rPr>
          <w:rFonts w:cs="Calibri"/>
          <w:sz w:val="22"/>
          <w:szCs w:val="22"/>
        </w:rPr>
        <w:t xml:space="preserve">Markkinavalvonnassa tärkeä riskinarviointi on merkityksellistä myös valvonnan kohdentamisessa. Sekä proaktiivisesti tehtävässä </w:t>
      </w:r>
      <w:proofErr w:type="gramStart"/>
      <w:r w:rsidRPr="00603115">
        <w:rPr>
          <w:rFonts w:cs="Calibri"/>
          <w:sz w:val="22"/>
          <w:szCs w:val="22"/>
        </w:rPr>
        <w:t>valvonnassa</w:t>
      </w:r>
      <w:proofErr w:type="gramEnd"/>
      <w:r w:rsidRPr="00603115">
        <w:rPr>
          <w:rFonts w:cs="Calibri"/>
          <w:sz w:val="22"/>
          <w:szCs w:val="22"/>
        </w:rPr>
        <w:t xml:space="preserve"> että reaktiivisesti eri tahojen aloitteesta käynnistetyssä valvonnassa otetaan resurssien rajallisuuden vuoksi huomioon tapauskohtainen riskinarviointi.</w:t>
      </w:r>
      <w:r w:rsidR="00A63577" w:rsidRPr="00603115">
        <w:rPr>
          <w:rFonts w:cs="Calibri"/>
          <w:sz w:val="22"/>
          <w:szCs w:val="22"/>
        </w:rPr>
        <w:t xml:space="preserve"> </w:t>
      </w:r>
      <w:bookmarkStart w:id="15" w:name="_Toc392679023"/>
      <w:r w:rsidR="00A63577" w:rsidRPr="00603115">
        <w:rPr>
          <w:rFonts w:cs="Calibri"/>
          <w:sz w:val="22"/>
          <w:szCs w:val="22"/>
        </w:rPr>
        <w:t>Lisäksi EU:n ulkopuolisista maista tulevien tuotteiden valvonnassa (ns. kolmasmaavalvonnassa) saatavia tietoja hyödynnetään markkinavalvonnassa ja sen suunnittelussa sekä toisinpäin. Myös Euroopan komission tulli</w:t>
      </w:r>
      <w:r w:rsidR="00637C9C">
        <w:rPr>
          <w:rFonts w:cs="Calibri"/>
          <w:sz w:val="22"/>
          <w:szCs w:val="22"/>
        </w:rPr>
        <w:t>-</w:t>
      </w:r>
      <w:r w:rsidR="00A63577" w:rsidRPr="00603115">
        <w:rPr>
          <w:rFonts w:cs="Calibri"/>
          <w:sz w:val="22"/>
          <w:szCs w:val="22"/>
        </w:rPr>
        <w:t xml:space="preserve"> ja markkinavalvontaviranomais</w:t>
      </w:r>
      <w:r w:rsidR="00637C9C">
        <w:rPr>
          <w:rFonts w:cs="Calibri"/>
          <w:sz w:val="22"/>
          <w:szCs w:val="22"/>
        </w:rPr>
        <w:t>t</w:t>
      </w:r>
      <w:r w:rsidR="00A63577" w:rsidRPr="00603115">
        <w:rPr>
          <w:rFonts w:cs="Calibri"/>
          <w:sz w:val="22"/>
          <w:szCs w:val="22"/>
        </w:rPr>
        <w:t xml:space="preserve">en yhteistyöstä </w:t>
      </w:r>
      <w:r w:rsidR="00A14389">
        <w:rPr>
          <w:rFonts w:cs="Calibri"/>
          <w:sz w:val="22"/>
          <w:szCs w:val="22"/>
        </w:rPr>
        <w:t xml:space="preserve">sekä verkkokaupan valvonnasta </w:t>
      </w:r>
      <w:r w:rsidR="00A63577" w:rsidRPr="00603115">
        <w:rPr>
          <w:rFonts w:cs="Calibri"/>
          <w:sz w:val="22"/>
          <w:szCs w:val="22"/>
        </w:rPr>
        <w:t>julkaisemia ohjeita hyödynnetään</w:t>
      </w:r>
      <w:r w:rsidR="00603115" w:rsidRPr="00603115">
        <w:rPr>
          <w:rFonts w:cs="Calibri"/>
          <w:sz w:val="22"/>
          <w:szCs w:val="22"/>
        </w:rPr>
        <w:t xml:space="preserve"> valvontayhteistyössä</w:t>
      </w:r>
      <w:r w:rsidR="00A63577" w:rsidRPr="00603115">
        <w:rPr>
          <w:rFonts w:cs="Calibri"/>
          <w:sz w:val="22"/>
          <w:szCs w:val="22"/>
        </w:rPr>
        <w:t>.</w:t>
      </w:r>
    </w:p>
    <w:p w14:paraId="6127927C" w14:textId="45C794F6" w:rsidR="00D7768F" w:rsidRDefault="00603115" w:rsidP="00603115">
      <w:pPr>
        <w:pStyle w:val="Text2"/>
        <w:tabs>
          <w:tab w:val="clear" w:pos="2302"/>
        </w:tabs>
        <w:ind w:left="1418"/>
        <w:rPr>
          <w:rFonts w:cs="Calibri"/>
          <w:sz w:val="22"/>
        </w:rPr>
      </w:pPr>
      <w:r>
        <w:rPr>
          <w:rFonts w:cs="Calibri"/>
          <w:sz w:val="22"/>
        </w:rPr>
        <w:t>EU:n a</w:t>
      </w:r>
      <w:r w:rsidRPr="00603115">
        <w:rPr>
          <w:rFonts w:cs="Calibri"/>
          <w:sz w:val="22"/>
        </w:rPr>
        <w:t xml:space="preserve">kkreditointi- ja markkinavalvonta-asetuksen lisäksi </w:t>
      </w:r>
      <w:r w:rsidR="00D039FB">
        <w:rPr>
          <w:rFonts w:cs="Calibri"/>
          <w:sz w:val="22"/>
        </w:rPr>
        <w:t>useimmilla</w:t>
      </w:r>
      <w:r w:rsidR="00D039FB" w:rsidRPr="00603115">
        <w:rPr>
          <w:rFonts w:cs="Calibri"/>
          <w:sz w:val="22"/>
        </w:rPr>
        <w:t xml:space="preserve"> </w:t>
      </w:r>
      <w:r w:rsidRPr="00603115">
        <w:rPr>
          <w:rFonts w:cs="Calibri"/>
          <w:sz w:val="22"/>
        </w:rPr>
        <w:t>sektor</w:t>
      </w:r>
      <w:r w:rsidR="00D039FB">
        <w:rPr>
          <w:rFonts w:cs="Calibri"/>
          <w:sz w:val="22"/>
        </w:rPr>
        <w:t>e</w:t>
      </w:r>
      <w:r w:rsidRPr="00603115">
        <w:rPr>
          <w:rFonts w:cs="Calibri"/>
          <w:sz w:val="22"/>
        </w:rPr>
        <w:t xml:space="preserve">illa on pääasiassa oma, tiettyjä tuoteryhmiä koskeva kansallinen markkinavalvontasääntelynsä. </w:t>
      </w:r>
      <w:r w:rsidR="00A14389">
        <w:rPr>
          <w:rFonts w:cs="Calibri"/>
          <w:sz w:val="22"/>
        </w:rPr>
        <w:t>M</w:t>
      </w:r>
      <w:r w:rsidR="00744A43">
        <w:rPr>
          <w:rFonts w:cs="Calibri"/>
          <w:sz w:val="22"/>
        </w:rPr>
        <w:t xml:space="preserve">arkkinavalvontaa sekä ilmoitettuja laitoksia koskevaa horisontaalista sääntelyä </w:t>
      </w:r>
      <w:r w:rsidR="00A14389">
        <w:rPr>
          <w:rFonts w:cs="Calibri"/>
          <w:sz w:val="22"/>
        </w:rPr>
        <w:t xml:space="preserve">on hyväksytty ja tullut voimaan, </w:t>
      </w:r>
      <w:r w:rsidR="00481DF7">
        <w:rPr>
          <w:rFonts w:cs="Calibri"/>
          <w:sz w:val="22"/>
        </w:rPr>
        <w:t>koskien niin sanotun</w:t>
      </w:r>
      <w:r w:rsidR="00744A43">
        <w:rPr>
          <w:rFonts w:cs="Calibri"/>
          <w:sz w:val="22"/>
        </w:rPr>
        <w:t xml:space="preserve"> direktiivipaketin sektoreita samoin kuin painelaitteita. Tämän lisäksi </w:t>
      </w:r>
      <w:r w:rsidR="00131201">
        <w:rPr>
          <w:rFonts w:cs="Calibri"/>
          <w:sz w:val="22"/>
        </w:rPr>
        <w:t>muilla</w:t>
      </w:r>
      <w:r w:rsidR="00744A43">
        <w:rPr>
          <w:rFonts w:cs="Calibri"/>
          <w:sz w:val="22"/>
        </w:rPr>
        <w:t xml:space="preserve"> sektorilla on edelleen oma sektorikohtainen markkinavalvontasääntelynsä. E</w:t>
      </w:r>
      <w:r w:rsidRPr="00603115">
        <w:rPr>
          <w:rFonts w:cs="Calibri"/>
          <w:sz w:val="22"/>
        </w:rPr>
        <w:t xml:space="preserve">ri sektorien lainsäädäntö on markkinavalvonnan osalta kuitenkin hyvin samankaltaista ja akkreditointi- ja markkinavalvonta-asetuksen mukaista. </w:t>
      </w:r>
      <w:r w:rsidR="00D7768F">
        <w:rPr>
          <w:rFonts w:cs="Calibri"/>
          <w:sz w:val="22"/>
        </w:rPr>
        <w:t>EU:n uuden markkinavalvonta-asetuksen (EU) 2019/1020 kansallinen täytäntöönpano on käynnissä ja tässä yhteydessä on tarkoituksena laajentaa horisontaalisen kansallisen markkinavalvontaa koskevan sääntelyn soveltamisalaa myös uusiin tuoteryhmiin.</w:t>
      </w:r>
    </w:p>
    <w:p w14:paraId="3ECCE52F" w14:textId="25F5C8DD" w:rsidR="00603115" w:rsidRDefault="00603115" w:rsidP="00603115">
      <w:pPr>
        <w:pStyle w:val="Text2"/>
        <w:tabs>
          <w:tab w:val="clear" w:pos="2302"/>
        </w:tabs>
        <w:ind w:left="1418"/>
        <w:rPr>
          <w:rFonts w:cs="Calibri"/>
          <w:sz w:val="22"/>
          <w:szCs w:val="22"/>
        </w:rPr>
      </w:pPr>
      <w:r w:rsidRPr="00603115">
        <w:rPr>
          <w:rFonts w:cs="Calibri"/>
          <w:sz w:val="22"/>
        </w:rPr>
        <w:t>Lisäksi kulutustavaroiden kyseessä ollessa valvonnassa voidaan tarvittaessa soveltaa yleistä kuluttajaturvallisuussääntelyä täydentävästi, jos sektorisääntelyssä ei ole esim. turvallisuuden kannalta riittäviä toimivaltuuksia valvontaviranomaiselle. Markkinavalvonnassa tehdään tarkastuksia ja selvityksiä, ja tarvittaessa markkinavalvontaviranomaiset voivat rajoittaa vaarallisen tai vaatimustenvastaisen tuotteen markkinoilla oloa esimerkiksi kieltämällä sen myynnin tai käyttöön luovuttamisen tai määräämällä tuotteen palautusmenettelystä. Markkinavalvontaa tehdään riskiperusteisesti.</w:t>
      </w:r>
      <w:r w:rsidRPr="006D22E6">
        <w:rPr>
          <w:rFonts w:cs="Calibri"/>
          <w:sz w:val="22"/>
          <w:szCs w:val="22"/>
        </w:rPr>
        <w:t xml:space="preserve"> </w:t>
      </w:r>
      <w:r w:rsidR="006D22E6" w:rsidRPr="006D22E6">
        <w:rPr>
          <w:rFonts w:cs="Calibri"/>
          <w:sz w:val="22"/>
          <w:szCs w:val="22"/>
        </w:rPr>
        <w:t xml:space="preserve">Riippumatta </w:t>
      </w:r>
      <w:r w:rsidR="006D22E6">
        <w:rPr>
          <w:rFonts w:cs="Calibri"/>
          <w:sz w:val="22"/>
          <w:szCs w:val="22"/>
        </w:rPr>
        <w:t>siitä, onko tuotteen vaatimusten vastaisuus havaittu markkinavalvontaprojektin yhteydessä tai kuluttajalta tai talouden toimijalta tulleen ilmoituksen perusteella, markkinavalvontaviranomaisten tulee perustaa markkinavalvontatoimensa riskinarviointiin.</w:t>
      </w:r>
    </w:p>
    <w:p w14:paraId="5581086D" w14:textId="6ABF3C06" w:rsidR="006D22E6" w:rsidRPr="00F07A71" w:rsidRDefault="00111479" w:rsidP="00603115">
      <w:pPr>
        <w:pStyle w:val="Text2"/>
        <w:tabs>
          <w:tab w:val="clear" w:pos="2302"/>
        </w:tabs>
        <w:ind w:left="1418"/>
        <w:rPr>
          <w:sz w:val="22"/>
          <w:szCs w:val="22"/>
        </w:rPr>
      </w:pPr>
      <w:r>
        <w:rPr>
          <w:rFonts w:cs="Calibri"/>
          <w:sz w:val="22"/>
          <w:szCs w:val="22"/>
        </w:rPr>
        <w:t>Terveyden ja hyvinvoinnin laitos on E</w:t>
      </w:r>
      <w:r w:rsidR="00BC5B71">
        <w:rPr>
          <w:rFonts w:cs="Calibri"/>
          <w:sz w:val="22"/>
          <w:szCs w:val="22"/>
        </w:rPr>
        <w:t xml:space="preserve">uropean </w:t>
      </w:r>
      <w:proofErr w:type="spellStart"/>
      <w:r w:rsidR="00BC5B71">
        <w:rPr>
          <w:rFonts w:cs="Calibri"/>
          <w:sz w:val="22"/>
          <w:szCs w:val="22"/>
        </w:rPr>
        <w:t>Injury</w:t>
      </w:r>
      <w:proofErr w:type="spellEnd"/>
      <w:r w:rsidR="00BC5B71">
        <w:rPr>
          <w:rFonts w:cs="Calibri"/>
          <w:sz w:val="22"/>
          <w:szCs w:val="22"/>
        </w:rPr>
        <w:t xml:space="preserve"> Data </w:t>
      </w:r>
      <w:proofErr w:type="spellStart"/>
      <w:r w:rsidR="00BC5B71">
        <w:rPr>
          <w:rFonts w:cs="Calibri"/>
          <w:sz w:val="22"/>
          <w:szCs w:val="22"/>
        </w:rPr>
        <w:t>Base</w:t>
      </w:r>
      <w:proofErr w:type="spellEnd"/>
      <w:r w:rsidR="00BC5B71">
        <w:rPr>
          <w:rFonts w:cs="Calibri"/>
          <w:sz w:val="22"/>
          <w:szCs w:val="22"/>
        </w:rPr>
        <w:t xml:space="preserve"> -verkoston</w:t>
      </w:r>
      <w:r>
        <w:rPr>
          <w:rFonts w:cs="Calibri"/>
          <w:sz w:val="22"/>
          <w:szCs w:val="22"/>
        </w:rPr>
        <w:t xml:space="preserve"> jäsen. </w:t>
      </w:r>
      <w:r w:rsidR="006D22E6" w:rsidRPr="00F07A71">
        <w:rPr>
          <w:rFonts w:cs="Calibri"/>
          <w:sz w:val="22"/>
          <w:szCs w:val="22"/>
        </w:rPr>
        <w:t xml:space="preserve">Jotkut markkinavalvontaviranomaiset sekä talouden toimijat keräävät tietoa tapaturmista ja onnettomuuksista. Yksi esimerkki tällaisesta tietokannasta on Turvallisuus- ja kemikaaliviraston ylläpitämä VARO, johon kerätään tietoa </w:t>
      </w:r>
      <w:r w:rsidR="006D22E6" w:rsidRPr="00F07A71">
        <w:rPr>
          <w:sz w:val="22"/>
          <w:szCs w:val="22"/>
        </w:rPr>
        <w:t xml:space="preserve">vaarallisiin kemikaaleihin, painelaitteisiin, kaivoksiin, sähkölaitteistoihin ja -laitteisiin sekä hisseihin liittyvistä onnettomuuksista ja vaaratilanteista. VARO-rekisteriin on tällä hetkellä kirjattu </w:t>
      </w:r>
      <w:r w:rsidR="00A14389">
        <w:rPr>
          <w:sz w:val="22"/>
          <w:szCs w:val="22"/>
        </w:rPr>
        <w:t>yli</w:t>
      </w:r>
      <w:r w:rsidR="00A14389" w:rsidRPr="00F07A71">
        <w:rPr>
          <w:sz w:val="22"/>
          <w:szCs w:val="22"/>
        </w:rPr>
        <w:t xml:space="preserve"> </w:t>
      </w:r>
      <w:r>
        <w:rPr>
          <w:sz w:val="22"/>
          <w:szCs w:val="22"/>
        </w:rPr>
        <w:t>8</w:t>
      </w:r>
      <w:r w:rsidR="00680A6B">
        <w:rPr>
          <w:sz w:val="22"/>
          <w:szCs w:val="22"/>
        </w:rPr>
        <w:t xml:space="preserve"> </w:t>
      </w:r>
      <w:r w:rsidR="006D22E6" w:rsidRPr="00F07A71">
        <w:rPr>
          <w:sz w:val="22"/>
          <w:szCs w:val="22"/>
        </w:rPr>
        <w:t xml:space="preserve">000 tapausta tai yhteenvetoa. Vanhimmat onnettomuustiedot ovat 1970-luvun alusta. Rekisteriin kirjataan nykyään </w:t>
      </w:r>
      <w:r>
        <w:rPr>
          <w:sz w:val="22"/>
          <w:szCs w:val="22"/>
        </w:rPr>
        <w:t>noin</w:t>
      </w:r>
      <w:r w:rsidR="00A14389">
        <w:rPr>
          <w:sz w:val="22"/>
          <w:szCs w:val="22"/>
        </w:rPr>
        <w:t xml:space="preserve"> 200</w:t>
      </w:r>
      <w:r w:rsidR="006D22E6" w:rsidRPr="00F07A71">
        <w:rPr>
          <w:sz w:val="22"/>
          <w:szCs w:val="22"/>
        </w:rPr>
        <w:t xml:space="preserve"> </w:t>
      </w:r>
      <w:r w:rsidR="006D22E6" w:rsidRPr="00F07A71">
        <w:rPr>
          <w:sz w:val="22"/>
          <w:szCs w:val="22"/>
        </w:rPr>
        <w:lastRenderedPageBreak/>
        <w:t xml:space="preserve">tapausta vuodessa. Onnettomuuskuvauksia julkaistaan osoitteessa </w:t>
      </w:r>
      <w:hyperlink r:id="rId8" w:history="1">
        <w:r w:rsidR="006D22E6" w:rsidRPr="00F07A71">
          <w:rPr>
            <w:rStyle w:val="Hyperlinkki"/>
            <w:sz w:val="22"/>
            <w:szCs w:val="22"/>
          </w:rPr>
          <w:t>http://varo.tukes.fi</w:t>
        </w:r>
      </w:hyperlink>
      <w:r w:rsidR="006D22E6" w:rsidRPr="00F07A71">
        <w:rPr>
          <w:sz w:val="22"/>
          <w:szCs w:val="22"/>
        </w:rPr>
        <w:t>, jolloin eri toimialat voivat hyödyntää niitä esimerkiksi riskienarvioinnin apuna tai turvallisuuskoulutuksissa.</w:t>
      </w:r>
    </w:p>
    <w:p w14:paraId="522D1AF5" w14:textId="77777777" w:rsidR="006D22E6" w:rsidRPr="00F07A71" w:rsidRDefault="006D22E6" w:rsidP="00603115">
      <w:pPr>
        <w:pStyle w:val="Text2"/>
        <w:tabs>
          <w:tab w:val="clear" w:pos="2302"/>
        </w:tabs>
        <w:ind w:left="1418"/>
        <w:rPr>
          <w:sz w:val="22"/>
          <w:szCs w:val="22"/>
        </w:rPr>
      </w:pPr>
      <w:r w:rsidRPr="00F07A71">
        <w:rPr>
          <w:sz w:val="22"/>
          <w:szCs w:val="22"/>
        </w:rPr>
        <w:t>Hallinnolliset toimenpiteet ovat yle</w:t>
      </w:r>
      <w:r w:rsidR="00637C9C">
        <w:rPr>
          <w:sz w:val="22"/>
          <w:szCs w:val="22"/>
        </w:rPr>
        <w:t xml:space="preserve">isin seuraus talouden toimijalle, jos tuote tai </w:t>
      </w:r>
      <w:r w:rsidR="00680A6B">
        <w:rPr>
          <w:sz w:val="22"/>
          <w:szCs w:val="22"/>
        </w:rPr>
        <w:t xml:space="preserve">sitä koskevat </w:t>
      </w:r>
      <w:r w:rsidR="00637C9C">
        <w:rPr>
          <w:sz w:val="22"/>
          <w:szCs w:val="22"/>
        </w:rPr>
        <w:t>asiakirjat eivät täytä vaatimuksia</w:t>
      </w:r>
      <w:r w:rsidRPr="00F07A71">
        <w:rPr>
          <w:sz w:val="22"/>
          <w:szCs w:val="22"/>
        </w:rPr>
        <w:t xml:space="preserve">. </w:t>
      </w:r>
      <w:r w:rsidR="005F52F6" w:rsidRPr="00F07A71">
        <w:rPr>
          <w:sz w:val="22"/>
          <w:szCs w:val="22"/>
        </w:rPr>
        <w:t xml:space="preserve">Markkinavalvontaviranomainen voi </w:t>
      </w:r>
      <w:r w:rsidR="00A9620B">
        <w:rPr>
          <w:sz w:val="22"/>
          <w:szCs w:val="22"/>
        </w:rPr>
        <w:t xml:space="preserve">sovellettavan lainsäädännön nojalla esimerkiksi </w:t>
      </w:r>
      <w:r w:rsidR="005F52F6" w:rsidRPr="00F07A71">
        <w:rPr>
          <w:sz w:val="22"/>
          <w:szCs w:val="22"/>
        </w:rPr>
        <w:t>kieltää vaatimustenvastaisen tuotteen, tai tuote-erän, myynnin j</w:t>
      </w:r>
      <w:r w:rsidR="00637C9C">
        <w:rPr>
          <w:sz w:val="22"/>
          <w:szCs w:val="22"/>
        </w:rPr>
        <w:t>a velvoittaa talouden toimijaa huolehtimaa</w:t>
      </w:r>
      <w:r w:rsidR="005F52F6" w:rsidRPr="00F07A71">
        <w:rPr>
          <w:sz w:val="22"/>
          <w:szCs w:val="22"/>
        </w:rPr>
        <w:t xml:space="preserve">n riskiä aiheuttavan tuotteen pois markkinoilta tai </w:t>
      </w:r>
      <w:r w:rsidR="00637C9C">
        <w:rPr>
          <w:sz w:val="22"/>
          <w:szCs w:val="22"/>
        </w:rPr>
        <w:t>toteuttamaan</w:t>
      </w:r>
      <w:r w:rsidR="005F52F6" w:rsidRPr="00854148">
        <w:rPr>
          <w:sz w:val="22"/>
          <w:szCs w:val="22"/>
        </w:rPr>
        <w:t xml:space="preserve"> tuot</w:t>
      </w:r>
      <w:r w:rsidR="00637C9C">
        <w:rPr>
          <w:sz w:val="22"/>
          <w:szCs w:val="22"/>
        </w:rPr>
        <w:t>etta koskeva</w:t>
      </w:r>
      <w:r w:rsidR="005F52F6" w:rsidRPr="00854148">
        <w:rPr>
          <w:sz w:val="22"/>
          <w:szCs w:val="22"/>
        </w:rPr>
        <w:t xml:space="preserve"> palautusmenettely</w:t>
      </w:r>
      <w:r w:rsidR="005F52F6" w:rsidRPr="00F07A71">
        <w:rPr>
          <w:sz w:val="22"/>
          <w:szCs w:val="22"/>
        </w:rPr>
        <w:t xml:space="preserve">. Tarvittaessa markkinavalvontaviranomainen voi tehostaa määräystään asettamalla uhkasakon tai teettämällä toimenpiteet talouden toimijan laskuun, jos toimija ei ryhdy toimiin vapaaehtoisesti. Markkinavalvontaviranomainen voi </w:t>
      </w:r>
      <w:r w:rsidR="00A9620B">
        <w:rPr>
          <w:sz w:val="22"/>
          <w:szCs w:val="22"/>
        </w:rPr>
        <w:t xml:space="preserve">monilla sektoreilla </w:t>
      </w:r>
      <w:r w:rsidR="005F5AD0">
        <w:rPr>
          <w:sz w:val="22"/>
          <w:szCs w:val="22"/>
        </w:rPr>
        <w:t xml:space="preserve">myös </w:t>
      </w:r>
      <w:r w:rsidR="005F52F6" w:rsidRPr="00F07A71">
        <w:rPr>
          <w:sz w:val="22"/>
          <w:szCs w:val="22"/>
        </w:rPr>
        <w:t xml:space="preserve">veloittaa talouden toimijalta tuotteen ostohinnan sekä testauskulut, jos tuotteen havaitaan olevan vaatimusten vastainen. Tämä toimii </w:t>
      </w:r>
      <w:r w:rsidR="00637C9C">
        <w:rPr>
          <w:sz w:val="22"/>
          <w:szCs w:val="22"/>
        </w:rPr>
        <w:t xml:space="preserve">osaltaan </w:t>
      </w:r>
      <w:r w:rsidR="005F52F6" w:rsidRPr="00F07A71">
        <w:rPr>
          <w:sz w:val="22"/>
          <w:szCs w:val="22"/>
        </w:rPr>
        <w:t>kannustimena talouden toimijoille varmistaa tuotteidensa vaatimustenmukaisuus. Markkinavalvontaviranomaiset voivat tiedottaa kuluttajia vaarallisista tuotteista tiedotteilla. Markkinavalvontaviranomainen voi myös velvoittaa asiaankuuluvan talouden</w:t>
      </w:r>
      <w:r w:rsidR="00637C9C">
        <w:rPr>
          <w:sz w:val="22"/>
          <w:szCs w:val="22"/>
        </w:rPr>
        <w:t>toimijan tiedottamaan kuluttajille toimijan</w:t>
      </w:r>
      <w:r w:rsidR="00C822B4" w:rsidRPr="00F07A71">
        <w:rPr>
          <w:sz w:val="22"/>
          <w:szCs w:val="22"/>
        </w:rPr>
        <w:t xml:space="preserve"> omalla kustannuksella. </w:t>
      </w:r>
    </w:p>
    <w:p w14:paraId="27700F48" w14:textId="77777777" w:rsidR="00C822B4" w:rsidRDefault="00C822B4" w:rsidP="00603115">
      <w:pPr>
        <w:pStyle w:val="Text2"/>
        <w:tabs>
          <w:tab w:val="clear" w:pos="2302"/>
        </w:tabs>
        <w:ind w:left="1418"/>
        <w:rPr>
          <w:rFonts w:cs="Calibri"/>
          <w:sz w:val="22"/>
          <w:szCs w:val="22"/>
        </w:rPr>
      </w:pPr>
      <w:r>
        <w:rPr>
          <w:rFonts w:cs="Calibri"/>
          <w:sz w:val="22"/>
          <w:szCs w:val="22"/>
        </w:rPr>
        <w:t xml:space="preserve">Vakavammista </w:t>
      </w:r>
      <w:r w:rsidR="00637C9C">
        <w:rPr>
          <w:rFonts w:cs="Calibri"/>
          <w:sz w:val="22"/>
          <w:szCs w:val="22"/>
        </w:rPr>
        <w:t>lainvastaisuuksista</w:t>
      </w:r>
      <w:r>
        <w:rPr>
          <w:rFonts w:cs="Calibri"/>
          <w:sz w:val="22"/>
          <w:szCs w:val="22"/>
        </w:rPr>
        <w:t xml:space="preserve"> voidaan myös määrätä vakavampia rangaistuksia. Esimerkiksi lelujen ja kulutustavaroiden osalta </w:t>
      </w:r>
      <w:r w:rsidR="00637C9C">
        <w:rPr>
          <w:rFonts w:cs="Calibri"/>
          <w:sz w:val="22"/>
          <w:szCs w:val="22"/>
        </w:rPr>
        <w:t>voidaan tuomita kuluttajaturvallisuusrikkomuksesta</w:t>
      </w:r>
      <w:r>
        <w:rPr>
          <w:rFonts w:cs="Calibri"/>
          <w:sz w:val="22"/>
          <w:szCs w:val="22"/>
        </w:rPr>
        <w:t xml:space="preserve"> kuluttajaturvallisuuslain (920/2011) 50 §:n nojalla sakko</w:t>
      </w:r>
      <w:r w:rsidR="00637C9C">
        <w:rPr>
          <w:rFonts w:cs="Calibri"/>
          <w:sz w:val="22"/>
          <w:szCs w:val="22"/>
        </w:rPr>
        <w:t>on</w:t>
      </w:r>
      <w:r>
        <w:rPr>
          <w:rFonts w:cs="Calibri"/>
          <w:sz w:val="22"/>
          <w:szCs w:val="22"/>
        </w:rPr>
        <w:t>. Rikoslain (39/1889) 44</w:t>
      </w:r>
      <w:r w:rsidR="00637C9C" w:rsidRPr="00637C9C">
        <w:rPr>
          <w:rFonts w:cs="Calibri"/>
          <w:sz w:val="22"/>
          <w:szCs w:val="22"/>
        </w:rPr>
        <w:t xml:space="preserve"> </w:t>
      </w:r>
      <w:r w:rsidR="00637C9C">
        <w:rPr>
          <w:rFonts w:cs="Calibri"/>
          <w:sz w:val="22"/>
          <w:szCs w:val="22"/>
        </w:rPr>
        <w:t>luvun</w:t>
      </w:r>
      <w:r>
        <w:rPr>
          <w:rFonts w:cs="Calibri"/>
          <w:sz w:val="22"/>
          <w:szCs w:val="22"/>
        </w:rPr>
        <w:t xml:space="preserve"> 1 §:n mukaan rangaistus terveysrikoksesta on vähintään sakko ja enimmillään kuuden kuukauden vankeusrangaistus.</w:t>
      </w:r>
    </w:p>
    <w:p w14:paraId="110714AD" w14:textId="77777777" w:rsidR="00876461" w:rsidRPr="00C822B4" w:rsidRDefault="00C822B4" w:rsidP="00603115">
      <w:pPr>
        <w:pStyle w:val="Text2"/>
        <w:tabs>
          <w:tab w:val="clear" w:pos="2302"/>
        </w:tabs>
        <w:ind w:left="1418"/>
        <w:rPr>
          <w:rFonts w:cs="Calibri"/>
          <w:sz w:val="22"/>
          <w:szCs w:val="22"/>
        </w:rPr>
      </w:pPr>
      <w:r>
        <w:rPr>
          <w:rFonts w:cs="Calibri"/>
          <w:sz w:val="22"/>
          <w:szCs w:val="22"/>
        </w:rPr>
        <w:t xml:space="preserve">Eri markkinavalvontaviranomaisten välisen yhteistyön lisäksi markkinavalvontaviranomaiset tekevät yhteistyötä eri sidosryhmien kanssa. Yhteistyötä tehdään esimerkiksi </w:t>
      </w:r>
      <w:r w:rsidR="008173FB">
        <w:rPr>
          <w:rFonts w:cs="Calibri"/>
          <w:sz w:val="22"/>
          <w:szCs w:val="22"/>
        </w:rPr>
        <w:t xml:space="preserve">vaatimustenmukaisuuden arviointiasiain </w:t>
      </w:r>
      <w:r w:rsidR="00680A6B">
        <w:rPr>
          <w:rFonts w:cs="Calibri"/>
          <w:sz w:val="22"/>
          <w:szCs w:val="22"/>
        </w:rPr>
        <w:t xml:space="preserve">neuvottelukunnan </w:t>
      </w:r>
      <w:r w:rsidR="008173FB">
        <w:rPr>
          <w:rFonts w:cs="Calibri"/>
          <w:sz w:val="22"/>
          <w:szCs w:val="22"/>
        </w:rPr>
        <w:t xml:space="preserve">toiminnan kautta sekä säännöllisissä markkinavalvontaviranomaisten ja sidosryhmien välisissä yhteistyötapaamisissa. </w:t>
      </w:r>
    </w:p>
    <w:p w14:paraId="57B0EA51" w14:textId="77777777" w:rsidR="00330904" w:rsidRDefault="00A973CC" w:rsidP="00A63577">
      <w:pPr>
        <w:pStyle w:val="Otsikko2"/>
        <w:tabs>
          <w:tab w:val="clear" w:pos="2280"/>
        </w:tabs>
        <w:ind w:left="709"/>
      </w:pPr>
      <w:bookmarkStart w:id="16" w:name="_Toc33713635"/>
      <w:r>
        <w:t>Yleiset puitteet yhteistyölle muiden jäsenvaltioiden ja unionin ulkopuolisten maiden kanssa</w:t>
      </w:r>
      <w:bookmarkEnd w:id="15"/>
      <w:bookmarkEnd w:id="16"/>
    </w:p>
    <w:p w14:paraId="391A0B7B" w14:textId="1DDA55FD" w:rsidR="004D3127" w:rsidRDefault="004D3127" w:rsidP="004D3127">
      <w:pPr>
        <w:ind w:left="1418"/>
        <w:rPr>
          <w:rFonts w:cs="Calibri"/>
          <w:sz w:val="22"/>
        </w:rPr>
      </w:pPr>
      <w:bookmarkStart w:id="17" w:name="_Toc392663948"/>
      <w:bookmarkStart w:id="18" w:name="_Toc392667169"/>
      <w:bookmarkStart w:id="19" w:name="_Toc392667558"/>
      <w:bookmarkStart w:id="20" w:name="_Toc392679024"/>
      <w:bookmarkEnd w:id="17"/>
      <w:bookmarkEnd w:id="18"/>
      <w:bookmarkEnd w:id="19"/>
      <w:r w:rsidRPr="004D3127">
        <w:rPr>
          <w:rFonts w:cs="Calibri"/>
          <w:sz w:val="22"/>
        </w:rPr>
        <w:t xml:space="preserve">Markkinavalvontaviranomaiset tekevät aktiivisesti yhteistyötä muiden kansallisten ja eurooppalaisten viranomaisten kanssa. Yhteistyötä tehdään sekä kahden- että monenvälisesti, mm. yhteisten valvontaprojektien ja erilaisen tietojenvaihdon muodossa. Merkittävää yhteistyötä jäsenmaiden viranomaisten kesken tehdään eri tuotesektoreiden hallinnollisissa yhteistyöryhmissä </w:t>
      </w:r>
      <w:r>
        <w:rPr>
          <w:rFonts w:cs="Calibri"/>
          <w:sz w:val="22"/>
        </w:rPr>
        <w:t>(</w:t>
      </w:r>
      <w:proofErr w:type="spellStart"/>
      <w:proofErr w:type="gramStart"/>
      <w:r w:rsidRPr="004D3127">
        <w:rPr>
          <w:rFonts w:cs="Calibri"/>
          <w:sz w:val="22"/>
        </w:rPr>
        <w:t>ADCO:issa</w:t>
      </w:r>
      <w:proofErr w:type="spellEnd"/>
      <w:proofErr w:type="gramEnd"/>
      <w:r>
        <w:rPr>
          <w:rFonts w:cs="Calibri"/>
          <w:sz w:val="22"/>
        </w:rPr>
        <w:t>)</w:t>
      </w:r>
      <w:r w:rsidR="00364339">
        <w:rPr>
          <w:rFonts w:cs="Calibri"/>
          <w:sz w:val="22"/>
        </w:rPr>
        <w:t xml:space="preserve"> sekä Euroopan kemikaaliviraston täytäntöönpanofoorumissa</w:t>
      </w:r>
      <w:r w:rsidRPr="004D3127">
        <w:rPr>
          <w:rFonts w:cs="Calibri"/>
          <w:sz w:val="22"/>
        </w:rPr>
        <w:t>.</w:t>
      </w:r>
      <w:r>
        <w:rPr>
          <w:rFonts w:cs="Calibri"/>
          <w:sz w:val="22"/>
        </w:rPr>
        <w:t xml:space="preserve"> Markkinavalvontaviranomaiset osallistuvat myös </w:t>
      </w:r>
      <w:r w:rsidR="000130BA">
        <w:rPr>
          <w:rFonts w:cs="Calibri"/>
          <w:sz w:val="22"/>
        </w:rPr>
        <w:t xml:space="preserve">markkinavalvontaviranomaisten epävirallisen yhteistyöelimen, </w:t>
      </w:r>
      <w:proofErr w:type="spellStart"/>
      <w:r w:rsidR="00111479">
        <w:rPr>
          <w:rFonts w:cs="Calibri"/>
          <w:sz w:val="22"/>
        </w:rPr>
        <w:t>CASP</w:t>
      </w:r>
      <w:r w:rsidR="000130BA">
        <w:rPr>
          <w:rFonts w:cs="Calibri"/>
          <w:sz w:val="22"/>
        </w:rPr>
        <w:t>:n</w:t>
      </w:r>
      <w:proofErr w:type="spellEnd"/>
      <w:r w:rsidR="000130BA">
        <w:rPr>
          <w:rFonts w:cs="Calibri"/>
          <w:sz w:val="22"/>
        </w:rPr>
        <w:t xml:space="preserve"> </w:t>
      </w:r>
      <w:r>
        <w:rPr>
          <w:rFonts w:cs="Calibri"/>
          <w:sz w:val="22"/>
        </w:rPr>
        <w:t>projekteihin</w:t>
      </w:r>
      <w:r w:rsidR="005B7A50">
        <w:rPr>
          <w:rFonts w:cs="Calibri"/>
          <w:sz w:val="22"/>
        </w:rPr>
        <w:t xml:space="preserve"> sekä muihin eurooppalaisiin</w:t>
      </w:r>
      <w:r w:rsidR="00807350">
        <w:rPr>
          <w:rFonts w:cs="Calibri"/>
          <w:sz w:val="22"/>
        </w:rPr>
        <w:t xml:space="preserve"> ja pohjoismaisiin</w:t>
      </w:r>
      <w:r w:rsidR="005B7A50">
        <w:rPr>
          <w:rFonts w:cs="Calibri"/>
          <w:sz w:val="22"/>
        </w:rPr>
        <w:t xml:space="preserve"> projekteihin</w:t>
      </w:r>
      <w:r>
        <w:rPr>
          <w:rFonts w:cs="Calibri"/>
          <w:sz w:val="22"/>
        </w:rPr>
        <w:t>.</w:t>
      </w:r>
    </w:p>
    <w:p w14:paraId="3737304C" w14:textId="77777777" w:rsidR="004D3127" w:rsidRPr="004D3127" w:rsidRDefault="004D3127" w:rsidP="004D3127">
      <w:pPr>
        <w:ind w:left="1418"/>
        <w:rPr>
          <w:rFonts w:cs="Calibri"/>
          <w:sz w:val="22"/>
        </w:rPr>
      </w:pPr>
      <w:r>
        <w:rPr>
          <w:rFonts w:cs="Calibri"/>
          <w:sz w:val="22"/>
        </w:rPr>
        <w:t>Yhteistyö muiden unionin jäsenvaltioiden sekä unionin ulkopuolisten valtioiden kanssa on pääasiassa sektorikohtaista.</w:t>
      </w:r>
    </w:p>
    <w:p w14:paraId="5B449971" w14:textId="77777777" w:rsidR="00335F28" w:rsidRDefault="00335F28" w:rsidP="00716802">
      <w:pPr>
        <w:pStyle w:val="Otsikko2"/>
        <w:tabs>
          <w:tab w:val="clear" w:pos="2280"/>
        </w:tabs>
        <w:ind w:left="709"/>
      </w:pPr>
      <w:bookmarkStart w:id="21" w:name="_Toc33713636"/>
      <w:r>
        <w:t>Markkinavalvontatoimien arviointi ja raportointi</w:t>
      </w:r>
      <w:bookmarkEnd w:id="20"/>
      <w:bookmarkEnd w:id="21"/>
    </w:p>
    <w:p w14:paraId="71BF68FA" w14:textId="4343FB1B" w:rsidR="004D3127" w:rsidRDefault="00617921" w:rsidP="0080168F">
      <w:pPr>
        <w:pStyle w:val="Text2"/>
        <w:tabs>
          <w:tab w:val="clear" w:pos="2302"/>
        </w:tabs>
        <w:ind w:left="1418"/>
        <w:rPr>
          <w:sz w:val="22"/>
        </w:rPr>
      </w:pPr>
      <w:r>
        <w:rPr>
          <w:sz w:val="22"/>
        </w:rPr>
        <w:t xml:space="preserve">Markkinavalvontatoimien </w:t>
      </w:r>
      <w:r w:rsidR="004D3127" w:rsidRPr="0080168F">
        <w:rPr>
          <w:sz w:val="22"/>
        </w:rPr>
        <w:t xml:space="preserve">raportointia ja arviointia toteutetaan </w:t>
      </w:r>
      <w:r>
        <w:rPr>
          <w:sz w:val="22"/>
        </w:rPr>
        <w:t xml:space="preserve">Suomessa lähtökohtaisesti </w:t>
      </w:r>
      <w:r w:rsidR="004D3127" w:rsidRPr="0080168F">
        <w:rPr>
          <w:sz w:val="22"/>
        </w:rPr>
        <w:t>sektorikohtaisesti</w:t>
      </w:r>
      <w:r w:rsidR="00A61461">
        <w:rPr>
          <w:sz w:val="22"/>
        </w:rPr>
        <w:t>, joskin Markkinavalvontafoorumi edesauttaa osaltaan parempaa keskustelua viranomaisten välillä tässäkin asiassa</w:t>
      </w:r>
      <w:r w:rsidR="004D3127" w:rsidRPr="0080168F">
        <w:rPr>
          <w:sz w:val="22"/>
        </w:rPr>
        <w:t xml:space="preserve">. Yhteisten riskinarviointimenetelmien kehittäminen olisi hyödyllistä markkinavalvontatoimien horisontaalisen arvioinnin </w:t>
      </w:r>
      <w:r>
        <w:rPr>
          <w:sz w:val="22"/>
        </w:rPr>
        <w:t xml:space="preserve">kehittämisen </w:t>
      </w:r>
      <w:r w:rsidR="004D3127" w:rsidRPr="0080168F">
        <w:rPr>
          <w:sz w:val="22"/>
        </w:rPr>
        <w:t>kannalta.</w:t>
      </w:r>
    </w:p>
    <w:p w14:paraId="2F37D0DC" w14:textId="77777777" w:rsidR="00EE0420" w:rsidRPr="00DE5199" w:rsidRDefault="00EE0420" w:rsidP="00716802">
      <w:pPr>
        <w:pStyle w:val="Otsikko2"/>
        <w:tabs>
          <w:tab w:val="clear" w:pos="2280"/>
        </w:tabs>
        <w:ind w:left="709"/>
      </w:pPr>
      <w:bookmarkStart w:id="22" w:name="_Toc392679025"/>
      <w:bookmarkStart w:id="23" w:name="_Toc33713637"/>
      <w:r>
        <w:lastRenderedPageBreak/>
        <w:t>Kaudelle</w:t>
      </w:r>
      <w:r w:rsidR="004D3127">
        <w:t xml:space="preserve"> </w:t>
      </w:r>
      <w:r>
        <w:t xml:space="preserve">suunnitellut monialaiset </w:t>
      </w:r>
      <w:r w:rsidR="00790412">
        <w:t>markkinavalvonta</w:t>
      </w:r>
      <w:r>
        <w:t>toimet</w:t>
      </w:r>
      <w:bookmarkEnd w:id="22"/>
      <w:bookmarkEnd w:id="23"/>
    </w:p>
    <w:p w14:paraId="0B544ECF" w14:textId="66503C07" w:rsidR="0080168F" w:rsidRPr="004D3127" w:rsidRDefault="004D3127" w:rsidP="00853D0E">
      <w:pPr>
        <w:ind w:left="1418"/>
        <w:rPr>
          <w:sz w:val="22"/>
        </w:rPr>
      </w:pPr>
      <w:r>
        <w:rPr>
          <w:sz w:val="22"/>
        </w:rPr>
        <w:t>Suomessa markkinavalvontatoimet ovat pääasiassa sektorikohtaisia. Kuitenkin joissakin tämänhetkisissä markkinavalvontatoimissa on mukana markkinavalvontavirano</w:t>
      </w:r>
      <w:r w:rsidR="00637C9C">
        <w:rPr>
          <w:sz w:val="22"/>
        </w:rPr>
        <w:t>maisia useammalta kuin yhdeltä hallinnonalalta</w:t>
      </w:r>
      <w:r>
        <w:rPr>
          <w:sz w:val="22"/>
        </w:rPr>
        <w:t>.</w:t>
      </w:r>
      <w:r w:rsidR="0031455B">
        <w:rPr>
          <w:sz w:val="22"/>
        </w:rPr>
        <w:t xml:space="preserve"> </w:t>
      </w:r>
      <w:r w:rsidR="00E36D41">
        <w:rPr>
          <w:sz w:val="22"/>
        </w:rPr>
        <w:t xml:space="preserve">On mahdollista, että </w:t>
      </w:r>
      <w:bookmarkStart w:id="24" w:name="_GoBack"/>
      <w:bookmarkEnd w:id="24"/>
      <w:r w:rsidR="0031455B">
        <w:rPr>
          <w:sz w:val="22"/>
        </w:rPr>
        <w:t xml:space="preserve">Markkinavalvontafoorumin puitteissa </w:t>
      </w:r>
      <w:r w:rsidR="00E36D41">
        <w:rPr>
          <w:sz w:val="22"/>
        </w:rPr>
        <w:t xml:space="preserve">tehostuneen koordinaation myötä nousee esiin </w:t>
      </w:r>
      <w:r w:rsidR="0000282E">
        <w:rPr>
          <w:sz w:val="22"/>
        </w:rPr>
        <w:t xml:space="preserve">myös </w:t>
      </w:r>
      <w:r w:rsidR="00853D0E">
        <w:rPr>
          <w:sz w:val="22"/>
        </w:rPr>
        <w:t>uusi</w:t>
      </w:r>
      <w:r w:rsidR="00E36D41">
        <w:rPr>
          <w:sz w:val="22"/>
        </w:rPr>
        <w:t>a</w:t>
      </w:r>
      <w:r w:rsidR="00853D0E">
        <w:rPr>
          <w:sz w:val="22"/>
        </w:rPr>
        <w:t xml:space="preserve"> horisontaalisen yhteistyön muotoj</w:t>
      </w:r>
      <w:r w:rsidR="00E36D41">
        <w:rPr>
          <w:sz w:val="22"/>
        </w:rPr>
        <w:t xml:space="preserve">a. </w:t>
      </w:r>
    </w:p>
    <w:sectPr w:rsidR="0080168F" w:rsidRPr="004D3127" w:rsidSect="00505B38">
      <w:footerReference w:type="default" r:id="rId9"/>
      <w:headerReference w:type="first" r:id="rId10"/>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97324" w14:textId="77777777" w:rsidR="000E040A" w:rsidRDefault="000E040A" w:rsidP="0018281A">
      <w:pPr>
        <w:spacing w:after="0"/>
      </w:pPr>
      <w:r>
        <w:separator/>
      </w:r>
    </w:p>
  </w:endnote>
  <w:endnote w:type="continuationSeparator" w:id="0">
    <w:p w14:paraId="4E6EE252" w14:textId="77777777" w:rsidR="000E040A" w:rsidRDefault="000E040A" w:rsidP="001828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EA3F4" w14:textId="1BB89254" w:rsidR="005D16C9" w:rsidRDefault="005D16C9">
    <w:pPr>
      <w:pStyle w:val="Alatunniste"/>
      <w:jc w:val="center"/>
    </w:pPr>
    <w:r>
      <w:fldChar w:fldCharType="begin"/>
    </w:r>
    <w:r>
      <w:instrText>PAGE</w:instrText>
    </w:r>
    <w:r>
      <w:fldChar w:fldCharType="separate"/>
    </w:r>
    <w:r w:rsidR="00103F8D">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73FE4" w14:textId="77777777" w:rsidR="000E040A" w:rsidRDefault="000E040A" w:rsidP="0018281A">
      <w:pPr>
        <w:spacing w:after="0"/>
      </w:pPr>
      <w:r>
        <w:separator/>
      </w:r>
    </w:p>
  </w:footnote>
  <w:footnote w:type="continuationSeparator" w:id="0">
    <w:p w14:paraId="74AB5FD6" w14:textId="77777777" w:rsidR="000E040A" w:rsidRDefault="000E040A" w:rsidP="001828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2E9F4" w14:textId="77777777" w:rsidR="005D16C9" w:rsidRPr="005D3FB2" w:rsidRDefault="005D16C9" w:rsidP="005D3FB2">
    <w:pPr>
      <w:pStyle w:val="Yltunniste"/>
      <w:spacing w:after="0"/>
      <w:jc w:val="right"/>
      <w:rPr>
        <w:color w:val="FF0000"/>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Numeroituluettel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Merkittyluettelo5"/>
      <w:lvlText w:val=""/>
      <w:lvlJc w:val="left"/>
      <w:pPr>
        <w:tabs>
          <w:tab w:val="num" w:pos="1492"/>
        </w:tabs>
        <w:ind w:left="1492" w:hanging="360"/>
      </w:pPr>
      <w:rPr>
        <w:rFonts w:ascii="Symbol" w:hAnsi="Symbol" w:hint="default"/>
      </w:rPr>
    </w:lvl>
  </w:abstractNum>
  <w:abstractNum w:abstractNumId="2" w15:restartNumberingAfterBreak="0">
    <w:nsid w:val="04542AD8"/>
    <w:multiLevelType w:val="hybridMultilevel"/>
    <w:tmpl w:val="1D5E0800"/>
    <w:lvl w:ilvl="0" w:tplc="9A121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727F6"/>
    <w:multiLevelType w:val="hybridMultilevel"/>
    <w:tmpl w:val="74266DD4"/>
    <w:lvl w:ilvl="0" w:tplc="9A121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42763"/>
    <w:multiLevelType w:val="hybridMultilevel"/>
    <w:tmpl w:val="5F72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C5363"/>
    <w:multiLevelType w:val="hybridMultilevel"/>
    <w:tmpl w:val="6818D730"/>
    <w:lvl w:ilvl="0" w:tplc="9A121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D291F"/>
    <w:multiLevelType w:val="hybridMultilevel"/>
    <w:tmpl w:val="960E1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Numeroituluettel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F734306"/>
    <w:multiLevelType w:val="multilevel"/>
    <w:tmpl w:val="0F9877B8"/>
    <w:lvl w:ilvl="0">
      <w:start w:val="1"/>
      <w:numFmt w:val="decimal"/>
      <w:pStyle w:val="Otsikko1"/>
      <w:lvlText w:val="%1."/>
      <w:lvlJc w:val="left"/>
      <w:pPr>
        <w:tabs>
          <w:tab w:val="num" w:pos="480"/>
        </w:tabs>
        <w:ind w:left="480" w:hanging="480"/>
      </w:pPr>
    </w:lvl>
    <w:lvl w:ilvl="1">
      <w:start w:val="1"/>
      <w:numFmt w:val="decimal"/>
      <w:pStyle w:val="Otsikko2"/>
      <w:lvlText w:val="%1.%2."/>
      <w:lvlJc w:val="left"/>
      <w:pPr>
        <w:tabs>
          <w:tab w:val="num" w:pos="2280"/>
        </w:tabs>
        <w:ind w:left="22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tabs>
          <w:tab w:val="num" w:pos="4973"/>
        </w:tabs>
        <w:ind w:left="4973" w:hanging="720"/>
      </w:pPr>
    </w:lvl>
    <w:lvl w:ilvl="3">
      <w:start w:val="1"/>
      <w:numFmt w:val="decimal"/>
      <w:pStyle w:val="Otsikk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DD3599"/>
    <w:multiLevelType w:val="multilevel"/>
    <w:tmpl w:val="4EAA5BA6"/>
    <w:lvl w:ilvl="0">
      <w:start w:val="1"/>
      <w:numFmt w:val="decimal"/>
      <w:pStyle w:val="Numeroituluettel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2CAB4527"/>
    <w:multiLevelType w:val="multilevel"/>
    <w:tmpl w:val="26C24C12"/>
    <w:lvl w:ilvl="0">
      <w:start w:val="1"/>
      <w:numFmt w:val="decimal"/>
      <w:pStyle w:val="Numeroituluettel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0A16AA"/>
    <w:multiLevelType w:val="hybridMultilevel"/>
    <w:tmpl w:val="704800A8"/>
    <w:lvl w:ilvl="0" w:tplc="9A121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FB6DC8"/>
    <w:multiLevelType w:val="singleLevel"/>
    <w:tmpl w:val="D97CFDF8"/>
    <w:lvl w:ilvl="0">
      <w:start w:val="1"/>
      <w:numFmt w:val="bullet"/>
      <w:pStyle w:val="Merkittyluettelo2"/>
      <w:lvlText w:val=""/>
      <w:lvlJc w:val="left"/>
      <w:pPr>
        <w:tabs>
          <w:tab w:val="num" w:pos="1485"/>
        </w:tabs>
        <w:ind w:left="1485" w:hanging="283"/>
      </w:pPr>
      <w:rPr>
        <w:rFonts w:ascii="Symbol" w:hAnsi="Symbol"/>
      </w:rPr>
    </w:lvl>
  </w:abstractNum>
  <w:abstractNum w:abstractNumId="16" w15:restartNumberingAfterBreak="0">
    <w:nsid w:val="3B735F2C"/>
    <w:multiLevelType w:val="hybridMultilevel"/>
    <w:tmpl w:val="EA7C2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182074"/>
    <w:multiLevelType w:val="hybridMultilevel"/>
    <w:tmpl w:val="0A62A916"/>
    <w:lvl w:ilvl="0" w:tplc="ACF24FE8">
      <w:start w:val="1"/>
      <w:numFmt w:val="bullet"/>
      <w:lvlText w:val="-"/>
      <w:lvlJc w:val="left"/>
      <w:pPr>
        <w:ind w:left="1562" w:hanging="360"/>
      </w:pPr>
      <w:rPr>
        <w:rFonts w:ascii="Calibri" w:hAnsi="Calibri" w:hint="default"/>
      </w:rPr>
    </w:lvl>
    <w:lvl w:ilvl="1" w:tplc="040B0003">
      <w:start w:val="1"/>
      <w:numFmt w:val="bullet"/>
      <w:lvlText w:val="o"/>
      <w:lvlJc w:val="left"/>
      <w:pPr>
        <w:ind w:left="2282" w:hanging="360"/>
      </w:pPr>
      <w:rPr>
        <w:rFonts w:ascii="Courier New" w:hAnsi="Courier New" w:cs="Courier New" w:hint="default"/>
      </w:rPr>
    </w:lvl>
    <w:lvl w:ilvl="2" w:tplc="040B0005" w:tentative="1">
      <w:start w:val="1"/>
      <w:numFmt w:val="bullet"/>
      <w:lvlText w:val=""/>
      <w:lvlJc w:val="left"/>
      <w:pPr>
        <w:ind w:left="3002" w:hanging="360"/>
      </w:pPr>
      <w:rPr>
        <w:rFonts w:ascii="Wingdings" w:hAnsi="Wingdings" w:hint="default"/>
      </w:rPr>
    </w:lvl>
    <w:lvl w:ilvl="3" w:tplc="040B0001" w:tentative="1">
      <w:start w:val="1"/>
      <w:numFmt w:val="bullet"/>
      <w:lvlText w:val=""/>
      <w:lvlJc w:val="left"/>
      <w:pPr>
        <w:ind w:left="3722" w:hanging="360"/>
      </w:pPr>
      <w:rPr>
        <w:rFonts w:ascii="Symbol" w:hAnsi="Symbol" w:hint="default"/>
      </w:rPr>
    </w:lvl>
    <w:lvl w:ilvl="4" w:tplc="040B0003" w:tentative="1">
      <w:start w:val="1"/>
      <w:numFmt w:val="bullet"/>
      <w:lvlText w:val="o"/>
      <w:lvlJc w:val="left"/>
      <w:pPr>
        <w:ind w:left="4442" w:hanging="360"/>
      </w:pPr>
      <w:rPr>
        <w:rFonts w:ascii="Courier New" w:hAnsi="Courier New" w:cs="Courier New" w:hint="default"/>
      </w:rPr>
    </w:lvl>
    <w:lvl w:ilvl="5" w:tplc="040B0005" w:tentative="1">
      <w:start w:val="1"/>
      <w:numFmt w:val="bullet"/>
      <w:lvlText w:val=""/>
      <w:lvlJc w:val="left"/>
      <w:pPr>
        <w:ind w:left="5162" w:hanging="360"/>
      </w:pPr>
      <w:rPr>
        <w:rFonts w:ascii="Wingdings" w:hAnsi="Wingdings" w:hint="default"/>
      </w:rPr>
    </w:lvl>
    <w:lvl w:ilvl="6" w:tplc="040B0001" w:tentative="1">
      <w:start w:val="1"/>
      <w:numFmt w:val="bullet"/>
      <w:lvlText w:val=""/>
      <w:lvlJc w:val="left"/>
      <w:pPr>
        <w:ind w:left="5882" w:hanging="360"/>
      </w:pPr>
      <w:rPr>
        <w:rFonts w:ascii="Symbol" w:hAnsi="Symbol" w:hint="default"/>
      </w:rPr>
    </w:lvl>
    <w:lvl w:ilvl="7" w:tplc="040B0003" w:tentative="1">
      <w:start w:val="1"/>
      <w:numFmt w:val="bullet"/>
      <w:lvlText w:val="o"/>
      <w:lvlJc w:val="left"/>
      <w:pPr>
        <w:ind w:left="6602" w:hanging="360"/>
      </w:pPr>
      <w:rPr>
        <w:rFonts w:ascii="Courier New" w:hAnsi="Courier New" w:cs="Courier New" w:hint="default"/>
      </w:rPr>
    </w:lvl>
    <w:lvl w:ilvl="8" w:tplc="040B0005" w:tentative="1">
      <w:start w:val="1"/>
      <w:numFmt w:val="bullet"/>
      <w:lvlText w:val=""/>
      <w:lvlJc w:val="left"/>
      <w:pPr>
        <w:ind w:left="7322" w:hanging="360"/>
      </w:pPr>
      <w:rPr>
        <w:rFonts w:ascii="Wingdings" w:hAnsi="Wingdings" w:hint="default"/>
      </w:rPr>
    </w:lvl>
  </w:abstractNum>
  <w:abstractNum w:abstractNumId="18" w15:restartNumberingAfterBreak="0">
    <w:nsid w:val="3CF00E18"/>
    <w:multiLevelType w:val="singleLevel"/>
    <w:tmpl w:val="4E1A982C"/>
    <w:lvl w:ilvl="0">
      <w:start w:val="1"/>
      <w:numFmt w:val="bullet"/>
      <w:pStyle w:val="Merkittyluettelo"/>
      <w:lvlText w:val=""/>
      <w:lvlJc w:val="left"/>
      <w:pPr>
        <w:tabs>
          <w:tab w:val="num" w:pos="283"/>
        </w:tabs>
        <w:ind w:left="283" w:hanging="283"/>
      </w:pPr>
      <w:rPr>
        <w:rFonts w:ascii="Symbol" w:hAnsi="Symbol"/>
      </w:rPr>
    </w:lvl>
  </w:abstractNum>
  <w:abstractNum w:abstractNumId="1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0" w15:restartNumberingAfterBreak="0">
    <w:nsid w:val="498960B3"/>
    <w:multiLevelType w:val="hybridMultilevel"/>
    <w:tmpl w:val="F0B28552"/>
    <w:lvl w:ilvl="0" w:tplc="9A121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1D34D5"/>
    <w:multiLevelType w:val="hybridMultilevel"/>
    <w:tmpl w:val="15EC5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847DE"/>
    <w:multiLevelType w:val="hybridMultilevel"/>
    <w:tmpl w:val="AB18668E"/>
    <w:lvl w:ilvl="0" w:tplc="9A121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920A0"/>
    <w:multiLevelType w:val="hybridMultilevel"/>
    <w:tmpl w:val="BDACFF14"/>
    <w:lvl w:ilvl="0" w:tplc="2B244E50">
      <w:start w:val="1"/>
      <w:numFmt w:val="bullet"/>
      <w:lvlText w:val=""/>
      <w:lvlJc w:val="left"/>
      <w:pPr>
        <w:tabs>
          <w:tab w:val="num" w:pos="360"/>
        </w:tabs>
        <w:ind w:left="360" w:hanging="360"/>
      </w:pPr>
      <w:rPr>
        <w:rFonts w:ascii="Wingdings" w:hAnsi="Wingdings" w:hint="default"/>
        <w:color w:val="0000FF"/>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15:restartNumberingAfterBreak="0">
    <w:nsid w:val="55236281"/>
    <w:multiLevelType w:val="hybridMultilevel"/>
    <w:tmpl w:val="7276A02E"/>
    <w:lvl w:ilvl="0" w:tplc="9A121D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E35D5"/>
    <w:multiLevelType w:val="hybridMultilevel"/>
    <w:tmpl w:val="F4C859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910BB"/>
    <w:multiLevelType w:val="hybridMultilevel"/>
    <w:tmpl w:val="341A41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20F2440"/>
    <w:multiLevelType w:val="singleLevel"/>
    <w:tmpl w:val="6860A420"/>
    <w:lvl w:ilvl="0">
      <w:start w:val="1"/>
      <w:numFmt w:val="bullet"/>
      <w:pStyle w:val="Merkittyluettelo3"/>
      <w:lvlText w:val=""/>
      <w:lvlJc w:val="left"/>
      <w:pPr>
        <w:tabs>
          <w:tab w:val="num" w:pos="1485"/>
        </w:tabs>
        <w:ind w:left="1485" w:hanging="283"/>
      </w:pPr>
      <w:rPr>
        <w:rFonts w:ascii="Symbol" w:hAnsi="Symbol"/>
      </w:rPr>
    </w:lvl>
  </w:abstractNum>
  <w:abstractNum w:abstractNumId="31" w15:restartNumberingAfterBreak="0">
    <w:nsid w:val="6DF118C0"/>
    <w:multiLevelType w:val="singleLevel"/>
    <w:tmpl w:val="B90C8B88"/>
    <w:lvl w:ilvl="0">
      <w:start w:val="1"/>
      <w:numFmt w:val="bullet"/>
      <w:pStyle w:val="Merkittyluettelo4"/>
      <w:lvlText w:val=""/>
      <w:lvlJc w:val="left"/>
      <w:pPr>
        <w:tabs>
          <w:tab w:val="num" w:pos="1485"/>
        </w:tabs>
        <w:ind w:left="1485" w:hanging="283"/>
      </w:pPr>
      <w:rPr>
        <w:rFonts w:ascii="Symbol" w:hAnsi="Symbol"/>
      </w:rPr>
    </w:lvl>
  </w:abstractNum>
  <w:abstractNum w:abstractNumId="32" w15:restartNumberingAfterBreak="0">
    <w:nsid w:val="722304D7"/>
    <w:multiLevelType w:val="multilevel"/>
    <w:tmpl w:val="9DE2758E"/>
    <w:lvl w:ilvl="0">
      <w:start w:val="1"/>
      <w:numFmt w:val="decimal"/>
      <w:pStyle w:val="Numeroituluettel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4C33610"/>
    <w:multiLevelType w:val="hybridMultilevel"/>
    <w:tmpl w:val="8240384A"/>
    <w:lvl w:ilvl="0" w:tplc="9B7A100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ACC4A4E"/>
    <w:multiLevelType w:val="hybridMultilevel"/>
    <w:tmpl w:val="B5389D28"/>
    <w:lvl w:ilvl="0" w:tplc="9A121D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8"/>
  </w:num>
  <w:num w:numId="5">
    <w:abstractNumId w:val="10"/>
  </w:num>
  <w:num w:numId="6">
    <w:abstractNumId w:val="15"/>
  </w:num>
  <w:num w:numId="7">
    <w:abstractNumId w:val="30"/>
  </w:num>
  <w:num w:numId="8">
    <w:abstractNumId w:val="31"/>
  </w:num>
  <w:num w:numId="9">
    <w:abstractNumId w:val="13"/>
  </w:num>
  <w:num w:numId="10">
    <w:abstractNumId w:val="29"/>
  </w:num>
  <w:num w:numId="11">
    <w:abstractNumId w:val="28"/>
  </w:num>
  <w:num w:numId="12">
    <w:abstractNumId w:val="19"/>
  </w:num>
  <w:num w:numId="13">
    <w:abstractNumId w:val="24"/>
  </w:num>
  <w:num w:numId="14">
    <w:abstractNumId w:val="9"/>
  </w:num>
  <w:num w:numId="15">
    <w:abstractNumId w:val="14"/>
  </w:num>
  <w:num w:numId="16">
    <w:abstractNumId w:val="7"/>
  </w:num>
  <w:num w:numId="17">
    <w:abstractNumId w:val="11"/>
  </w:num>
  <w:num w:numId="18">
    <w:abstractNumId w:val="32"/>
  </w:num>
  <w:num w:numId="19">
    <w:abstractNumId w:val="34"/>
  </w:num>
  <w:num w:numId="20">
    <w:abstractNumId w:val="2"/>
  </w:num>
  <w:num w:numId="21">
    <w:abstractNumId w:val="3"/>
  </w:num>
  <w:num w:numId="22">
    <w:abstractNumId w:val="20"/>
  </w:num>
  <w:num w:numId="23">
    <w:abstractNumId w:val="12"/>
  </w:num>
  <w:num w:numId="24">
    <w:abstractNumId w:val="5"/>
  </w:num>
  <w:num w:numId="25">
    <w:abstractNumId w:val="22"/>
  </w:num>
  <w:num w:numId="26">
    <w:abstractNumId w:val="25"/>
  </w:num>
  <w:num w:numId="27">
    <w:abstractNumId w:val="1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3"/>
  </w:num>
  <w:num w:numId="34">
    <w:abstractNumId w:val="21"/>
  </w:num>
  <w:num w:numId="35">
    <w:abstractNumId w:val="4"/>
  </w:num>
  <w:num w:numId="36">
    <w:abstractNumId w:val="26"/>
  </w:num>
  <w:num w:numId="37">
    <w:abstractNumId w:val="6"/>
  </w:num>
  <w:num w:numId="38">
    <w:abstractNumId w:val="33"/>
  </w:num>
  <w:num w:numId="39">
    <w:abstractNumId w:val="8"/>
  </w:num>
  <w:num w:numId="40">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18281A"/>
    <w:rsid w:val="0000282E"/>
    <w:rsid w:val="00003B39"/>
    <w:rsid w:val="000130BA"/>
    <w:rsid w:val="00020C7D"/>
    <w:rsid w:val="0005105C"/>
    <w:rsid w:val="00052C75"/>
    <w:rsid w:val="0006759C"/>
    <w:rsid w:val="00067ACB"/>
    <w:rsid w:val="00067D67"/>
    <w:rsid w:val="00070C99"/>
    <w:rsid w:val="000722A2"/>
    <w:rsid w:val="00081317"/>
    <w:rsid w:val="00082EE5"/>
    <w:rsid w:val="00085499"/>
    <w:rsid w:val="00091B57"/>
    <w:rsid w:val="0009359B"/>
    <w:rsid w:val="000944B4"/>
    <w:rsid w:val="00097D50"/>
    <w:rsid w:val="000A4601"/>
    <w:rsid w:val="000B08F2"/>
    <w:rsid w:val="000B2193"/>
    <w:rsid w:val="000B6C0F"/>
    <w:rsid w:val="000C034F"/>
    <w:rsid w:val="000C632E"/>
    <w:rsid w:val="000D711B"/>
    <w:rsid w:val="000E040A"/>
    <w:rsid w:val="000E22B0"/>
    <w:rsid w:val="000E5A7C"/>
    <w:rsid w:val="000E629F"/>
    <w:rsid w:val="000E6C2D"/>
    <w:rsid w:val="0010113F"/>
    <w:rsid w:val="00103F8D"/>
    <w:rsid w:val="001043AF"/>
    <w:rsid w:val="00111479"/>
    <w:rsid w:val="00114EA8"/>
    <w:rsid w:val="001210E0"/>
    <w:rsid w:val="001212A5"/>
    <w:rsid w:val="001225C5"/>
    <w:rsid w:val="001231E8"/>
    <w:rsid w:val="00125479"/>
    <w:rsid w:val="00131201"/>
    <w:rsid w:val="00136301"/>
    <w:rsid w:val="00140843"/>
    <w:rsid w:val="00142F3D"/>
    <w:rsid w:val="00153642"/>
    <w:rsid w:val="00153B3F"/>
    <w:rsid w:val="00154326"/>
    <w:rsid w:val="00155068"/>
    <w:rsid w:val="00156F7F"/>
    <w:rsid w:val="0017380A"/>
    <w:rsid w:val="00173E3D"/>
    <w:rsid w:val="0018281A"/>
    <w:rsid w:val="001958AC"/>
    <w:rsid w:val="0019706F"/>
    <w:rsid w:val="001A1C36"/>
    <w:rsid w:val="001A34BF"/>
    <w:rsid w:val="001B023C"/>
    <w:rsid w:val="001C1D7A"/>
    <w:rsid w:val="001C52F2"/>
    <w:rsid w:val="001C6354"/>
    <w:rsid w:val="001C7A14"/>
    <w:rsid w:val="001D2D70"/>
    <w:rsid w:val="001D42D0"/>
    <w:rsid w:val="001D4CDA"/>
    <w:rsid w:val="001D65C2"/>
    <w:rsid w:val="001F65D1"/>
    <w:rsid w:val="00203D85"/>
    <w:rsid w:val="0020469D"/>
    <w:rsid w:val="002078EF"/>
    <w:rsid w:val="00220E8B"/>
    <w:rsid w:val="002212BB"/>
    <w:rsid w:val="0024065A"/>
    <w:rsid w:val="00241F5E"/>
    <w:rsid w:val="00244BC4"/>
    <w:rsid w:val="00247EC4"/>
    <w:rsid w:val="0026138D"/>
    <w:rsid w:val="00262C30"/>
    <w:rsid w:val="00283395"/>
    <w:rsid w:val="00284886"/>
    <w:rsid w:val="002851F1"/>
    <w:rsid w:val="0028541F"/>
    <w:rsid w:val="0029165C"/>
    <w:rsid w:val="00293B0A"/>
    <w:rsid w:val="00293ED0"/>
    <w:rsid w:val="002949B0"/>
    <w:rsid w:val="002B0D48"/>
    <w:rsid w:val="002B1C4F"/>
    <w:rsid w:val="002C1DDB"/>
    <w:rsid w:val="002D6B15"/>
    <w:rsid w:val="002D6D2D"/>
    <w:rsid w:val="002D6EC0"/>
    <w:rsid w:val="002E5045"/>
    <w:rsid w:val="002E5FC4"/>
    <w:rsid w:val="002F1260"/>
    <w:rsid w:val="002F1A76"/>
    <w:rsid w:val="00301242"/>
    <w:rsid w:val="00302B7B"/>
    <w:rsid w:val="003111C1"/>
    <w:rsid w:val="00311ED6"/>
    <w:rsid w:val="0031455B"/>
    <w:rsid w:val="00327EDA"/>
    <w:rsid w:val="00330904"/>
    <w:rsid w:val="00335F28"/>
    <w:rsid w:val="00342152"/>
    <w:rsid w:val="003434B8"/>
    <w:rsid w:val="00343690"/>
    <w:rsid w:val="00351AD8"/>
    <w:rsid w:val="00364339"/>
    <w:rsid w:val="00367AF3"/>
    <w:rsid w:val="00370093"/>
    <w:rsid w:val="00371FB2"/>
    <w:rsid w:val="00377782"/>
    <w:rsid w:val="00392484"/>
    <w:rsid w:val="0039338F"/>
    <w:rsid w:val="00397C48"/>
    <w:rsid w:val="003B602E"/>
    <w:rsid w:val="003C1F4C"/>
    <w:rsid w:val="003C5B83"/>
    <w:rsid w:val="003D17CF"/>
    <w:rsid w:val="003E05AA"/>
    <w:rsid w:val="003E0E87"/>
    <w:rsid w:val="003E4E2A"/>
    <w:rsid w:val="003F0384"/>
    <w:rsid w:val="00402A33"/>
    <w:rsid w:val="00402A5E"/>
    <w:rsid w:val="004056D2"/>
    <w:rsid w:val="00407010"/>
    <w:rsid w:val="00416B42"/>
    <w:rsid w:val="00417C93"/>
    <w:rsid w:val="00425240"/>
    <w:rsid w:val="00432DF0"/>
    <w:rsid w:val="004414BA"/>
    <w:rsid w:val="0044372F"/>
    <w:rsid w:val="00454110"/>
    <w:rsid w:val="00460AF9"/>
    <w:rsid w:val="00466ED9"/>
    <w:rsid w:val="0046729E"/>
    <w:rsid w:val="00467325"/>
    <w:rsid w:val="00473D0D"/>
    <w:rsid w:val="00480C36"/>
    <w:rsid w:val="00481DF7"/>
    <w:rsid w:val="004825D4"/>
    <w:rsid w:val="004831A1"/>
    <w:rsid w:val="00487A7F"/>
    <w:rsid w:val="00490E6C"/>
    <w:rsid w:val="0049671E"/>
    <w:rsid w:val="004A314E"/>
    <w:rsid w:val="004A67A0"/>
    <w:rsid w:val="004A7DFD"/>
    <w:rsid w:val="004B7715"/>
    <w:rsid w:val="004C7639"/>
    <w:rsid w:val="004D3127"/>
    <w:rsid w:val="004D4390"/>
    <w:rsid w:val="004D58F1"/>
    <w:rsid w:val="004F1F23"/>
    <w:rsid w:val="004F230B"/>
    <w:rsid w:val="00501E55"/>
    <w:rsid w:val="005021E0"/>
    <w:rsid w:val="00505B38"/>
    <w:rsid w:val="00516067"/>
    <w:rsid w:val="00520041"/>
    <w:rsid w:val="00526F2D"/>
    <w:rsid w:val="00532B3A"/>
    <w:rsid w:val="00546B94"/>
    <w:rsid w:val="00555CDD"/>
    <w:rsid w:val="005653C5"/>
    <w:rsid w:val="005657AD"/>
    <w:rsid w:val="00567BDB"/>
    <w:rsid w:val="00572C38"/>
    <w:rsid w:val="005732B5"/>
    <w:rsid w:val="00574152"/>
    <w:rsid w:val="00577A5B"/>
    <w:rsid w:val="00585838"/>
    <w:rsid w:val="00594925"/>
    <w:rsid w:val="005A0A7B"/>
    <w:rsid w:val="005A5EF9"/>
    <w:rsid w:val="005A69D0"/>
    <w:rsid w:val="005A7125"/>
    <w:rsid w:val="005B1FAF"/>
    <w:rsid w:val="005B3193"/>
    <w:rsid w:val="005B3FE8"/>
    <w:rsid w:val="005B7A50"/>
    <w:rsid w:val="005C4C7A"/>
    <w:rsid w:val="005D0FBB"/>
    <w:rsid w:val="005D16C9"/>
    <w:rsid w:val="005D3FB2"/>
    <w:rsid w:val="005E14DC"/>
    <w:rsid w:val="005E19F1"/>
    <w:rsid w:val="005E59D3"/>
    <w:rsid w:val="005F0B66"/>
    <w:rsid w:val="005F4E02"/>
    <w:rsid w:val="005F52F6"/>
    <w:rsid w:val="005F5AD0"/>
    <w:rsid w:val="00600BD0"/>
    <w:rsid w:val="00601674"/>
    <w:rsid w:val="00601C6D"/>
    <w:rsid w:val="00603115"/>
    <w:rsid w:val="00611E87"/>
    <w:rsid w:val="00617921"/>
    <w:rsid w:val="00637C9C"/>
    <w:rsid w:val="00640B9C"/>
    <w:rsid w:val="00650C45"/>
    <w:rsid w:val="00652007"/>
    <w:rsid w:val="006530F0"/>
    <w:rsid w:val="00664527"/>
    <w:rsid w:val="00671266"/>
    <w:rsid w:val="00673CB7"/>
    <w:rsid w:val="00680A6B"/>
    <w:rsid w:val="006814D8"/>
    <w:rsid w:val="0068731A"/>
    <w:rsid w:val="0069342D"/>
    <w:rsid w:val="00697796"/>
    <w:rsid w:val="006A0341"/>
    <w:rsid w:val="006B252C"/>
    <w:rsid w:val="006B4B87"/>
    <w:rsid w:val="006B4F79"/>
    <w:rsid w:val="006C064B"/>
    <w:rsid w:val="006D22E6"/>
    <w:rsid w:val="006D6333"/>
    <w:rsid w:val="006E3A70"/>
    <w:rsid w:val="00707254"/>
    <w:rsid w:val="00715144"/>
    <w:rsid w:val="00716802"/>
    <w:rsid w:val="00725317"/>
    <w:rsid w:val="0072607E"/>
    <w:rsid w:val="00736DBE"/>
    <w:rsid w:val="00740B26"/>
    <w:rsid w:val="007410BA"/>
    <w:rsid w:val="00744A43"/>
    <w:rsid w:val="00746686"/>
    <w:rsid w:val="00751146"/>
    <w:rsid w:val="007511AE"/>
    <w:rsid w:val="00756009"/>
    <w:rsid w:val="00762A01"/>
    <w:rsid w:val="00774C55"/>
    <w:rsid w:val="007760F7"/>
    <w:rsid w:val="00785E16"/>
    <w:rsid w:val="007870AC"/>
    <w:rsid w:val="00790412"/>
    <w:rsid w:val="007907D4"/>
    <w:rsid w:val="00794399"/>
    <w:rsid w:val="0079620D"/>
    <w:rsid w:val="007A5144"/>
    <w:rsid w:val="007A650F"/>
    <w:rsid w:val="007B40BB"/>
    <w:rsid w:val="007C0413"/>
    <w:rsid w:val="007C39AF"/>
    <w:rsid w:val="007D25BC"/>
    <w:rsid w:val="0080168F"/>
    <w:rsid w:val="008018E4"/>
    <w:rsid w:val="00807350"/>
    <w:rsid w:val="008173FB"/>
    <w:rsid w:val="008201F0"/>
    <w:rsid w:val="00820FAC"/>
    <w:rsid w:val="00826A29"/>
    <w:rsid w:val="00827899"/>
    <w:rsid w:val="0083089F"/>
    <w:rsid w:val="0084151E"/>
    <w:rsid w:val="00843B3D"/>
    <w:rsid w:val="0085080B"/>
    <w:rsid w:val="00852C8A"/>
    <w:rsid w:val="008539A6"/>
    <w:rsid w:val="00853CDD"/>
    <w:rsid w:val="00853D0E"/>
    <w:rsid w:val="00854148"/>
    <w:rsid w:val="00855338"/>
    <w:rsid w:val="008653F4"/>
    <w:rsid w:val="00865963"/>
    <w:rsid w:val="00866E8A"/>
    <w:rsid w:val="00870A9B"/>
    <w:rsid w:val="00872412"/>
    <w:rsid w:val="00876461"/>
    <w:rsid w:val="00877AC7"/>
    <w:rsid w:val="0088671C"/>
    <w:rsid w:val="00887739"/>
    <w:rsid w:val="008942B2"/>
    <w:rsid w:val="008A3965"/>
    <w:rsid w:val="008A68AA"/>
    <w:rsid w:val="008B0354"/>
    <w:rsid w:val="008B64DF"/>
    <w:rsid w:val="008B74A5"/>
    <w:rsid w:val="008C0024"/>
    <w:rsid w:val="008C5692"/>
    <w:rsid w:val="008D0A81"/>
    <w:rsid w:val="008D1B23"/>
    <w:rsid w:val="008D7BA1"/>
    <w:rsid w:val="008E0404"/>
    <w:rsid w:val="008F245B"/>
    <w:rsid w:val="008F449F"/>
    <w:rsid w:val="008F7F64"/>
    <w:rsid w:val="00900809"/>
    <w:rsid w:val="0090285A"/>
    <w:rsid w:val="00902D22"/>
    <w:rsid w:val="00913012"/>
    <w:rsid w:val="009251B7"/>
    <w:rsid w:val="009303A7"/>
    <w:rsid w:val="00933154"/>
    <w:rsid w:val="00942C6A"/>
    <w:rsid w:val="0095344F"/>
    <w:rsid w:val="00954387"/>
    <w:rsid w:val="0095557B"/>
    <w:rsid w:val="00956E71"/>
    <w:rsid w:val="00976625"/>
    <w:rsid w:val="00986C01"/>
    <w:rsid w:val="0098771A"/>
    <w:rsid w:val="009919BE"/>
    <w:rsid w:val="009B0FC6"/>
    <w:rsid w:val="009B2441"/>
    <w:rsid w:val="009B56BA"/>
    <w:rsid w:val="009B6905"/>
    <w:rsid w:val="009B7BAC"/>
    <w:rsid w:val="009C0E96"/>
    <w:rsid w:val="009C4414"/>
    <w:rsid w:val="009C5126"/>
    <w:rsid w:val="009D4A8F"/>
    <w:rsid w:val="009D6F5E"/>
    <w:rsid w:val="009E36CA"/>
    <w:rsid w:val="009E498E"/>
    <w:rsid w:val="009F26AF"/>
    <w:rsid w:val="009F50C2"/>
    <w:rsid w:val="009F6CF0"/>
    <w:rsid w:val="00A14389"/>
    <w:rsid w:val="00A147BD"/>
    <w:rsid w:val="00A16E3E"/>
    <w:rsid w:val="00A265F1"/>
    <w:rsid w:val="00A31864"/>
    <w:rsid w:val="00A342A0"/>
    <w:rsid w:val="00A41B34"/>
    <w:rsid w:val="00A466EA"/>
    <w:rsid w:val="00A53C2E"/>
    <w:rsid w:val="00A60167"/>
    <w:rsid w:val="00A61461"/>
    <w:rsid w:val="00A63577"/>
    <w:rsid w:val="00A72116"/>
    <w:rsid w:val="00A73398"/>
    <w:rsid w:val="00A754A2"/>
    <w:rsid w:val="00A9620B"/>
    <w:rsid w:val="00A973CC"/>
    <w:rsid w:val="00A978C3"/>
    <w:rsid w:val="00AA00BC"/>
    <w:rsid w:val="00AB7F98"/>
    <w:rsid w:val="00AE2076"/>
    <w:rsid w:val="00AE6BB3"/>
    <w:rsid w:val="00AE6C0F"/>
    <w:rsid w:val="00AF50F9"/>
    <w:rsid w:val="00AF7936"/>
    <w:rsid w:val="00AF7D8A"/>
    <w:rsid w:val="00B067F4"/>
    <w:rsid w:val="00B1165C"/>
    <w:rsid w:val="00B24A77"/>
    <w:rsid w:val="00B25F75"/>
    <w:rsid w:val="00B44B8E"/>
    <w:rsid w:val="00B50BFD"/>
    <w:rsid w:val="00B51719"/>
    <w:rsid w:val="00B60193"/>
    <w:rsid w:val="00B6051B"/>
    <w:rsid w:val="00B63E6B"/>
    <w:rsid w:val="00B65BEE"/>
    <w:rsid w:val="00B67B55"/>
    <w:rsid w:val="00B70067"/>
    <w:rsid w:val="00B72D60"/>
    <w:rsid w:val="00B72E62"/>
    <w:rsid w:val="00B8557C"/>
    <w:rsid w:val="00B87AED"/>
    <w:rsid w:val="00B9132B"/>
    <w:rsid w:val="00BA550D"/>
    <w:rsid w:val="00BA75BD"/>
    <w:rsid w:val="00BB1CF6"/>
    <w:rsid w:val="00BC0941"/>
    <w:rsid w:val="00BC293A"/>
    <w:rsid w:val="00BC5B71"/>
    <w:rsid w:val="00BD2353"/>
    <w:rsid w:val="00BD2E45"/>
    <w:rsid w:val="00BE2AEE"/>
    <w:rsid w:val="00BE32D0"/>
    <w:rsid w:val="00BE3FCF"/>
    <w:rsid w:val="00BE5282"/>
    <w:rsid w:val="00BF1DEB"/>
    <w:rsid w:val="00BF574A"/>
    <w:rsid w:val="00C050F7"/>
    <w:rsid w:val="00C05A25"/>
    <w:rsid w:val="00C06933"/>
    <w:rsid w:val="00C06F96"/>
    <w:rsid w:val="00C347B0"/>
    <w:rsid w:val="00C4427A"/>
    <w:rsid w:val="00C50259"/>
    <w:rsid w:val="00C517F1"/>
    <w:rsid w:val="00C571E4"/>
    <w:rsid w:val="00C67F29"/>
    <w:rsid w:val="00C822B4"/>
    <w:rsid w:val="00CA3008"/>
    <w:rsid w:val="00CB2AE7"/>
    <w:rsid w:val="00CC00FD"/>
    <w:rsid w:val="00CD0037"/>
    <w:rsid w:val="00CD17AC"/>
    <w:rsid w:val="00CD495E"/>
    <w:rsid w:val="00CD56D1"/>
    <w:rsid w:val="00CD5DA4"/>
    <w:rsid w:val="00CF36E9"/>
    <w:rsid w:val="00CF5F6A"/>
    <w:rsid w:val="00D039FB"/>
    <w:rsid w:val="00D1640B"/>
    <w:rsid w:val="00D22824"/>
    <w:rsid w:val="00D23225"/>
    <w:rsid w:val="00D351D3"/>
    <w:rsid w:val="00D47205"/>
    <w:rsid w:val="00D51FBD"/>
    <w:rsid w:val="00D5282A"/>
    <w:rsid w:val="00D55D61"/>
    <w:rsid w:val="00D60B5C"/>
    <w:rsid w:val="00D64A88"/>
    <w:rsid w:val="00D70631"/>
    <w:rsid w:val="00D773B7"/>
    <w:rsid w:val="00D7768F"/>
    <w:rsid w:val="00D87566"/>
    <w:rsid w:val="00D90773"/>
    <w:rsid w:val="00D93901"/>
    <w:rsid w:val="00D940C9"/>
    <w:rsid w:val="00DA4E3A"/>
    <w:rsid w:val="00DA5017"/>
    <w:rsid w:val="00DA512D"/>
    <w:rsid w:val="00DA7316"/>
    <w:rsid w:val="00DB08B4"/>
    <w:rsid w:val="00DB08D7"/>
    <w:rsid w:val="00DB0B8A"/>
    <w:rsid w:val="00DC4849"/>
    <w:rsid w:val="00DC48B4"/>
    <w:rsid w:val="00DC4DB9"/>
    <w:rsid w:val="00DC6DF4"/>
    <w:rsid w:val="00DD5626"/>
    <w:rsid w:val="00DE1133"/>
    <w:rsid w:val="00DE1837"/>
    <w:rsid w:val="00DE5199"/>
    <w:rsid w:val="00DF4CC9"/>
    <w:rsid w:val="00DF5A9E"/>
    <w:rsid w:val="00DF5F7E"/>
    <w:rsid w:val="00DF7F6B"/>
    <w:rsid w:val="00E03F55"/>
    <w:rsid w:val="00E13522"/>
    <w:rsid w:val="00E13EDD"/>
    <w:rsid w:val="00E20FE9"/>
    <w:rsid w:val="00E23353"/>
    <w:rsid w:val="00E23F5C"/>
    <w:rsid w:val="00E25A60"/>
    <w:rsid w:val="00E36D41"/>
    <w:rsid w:val="00E413BA"/>
    <w:rsid w:val="00E448A2"/>
    <w:rsid w:val="00E459B6"/>
    <w:rsid w:val="00E4710E"/>
    <w:rsid w:val="00E51FAD"/>
    <w:rsid w:val="00E531CF"/>
    <w:rsid w:val="00E637C5"/>
    <w:rsid w:val="00E723EA"/>
    <w:rsid w:val="00E75339"/>
    <w:rsid w:val="00E800E3"/>
    <w:rsid w:val="00E90AA7"/>
    <w:rsid w:val="00E975E9"/>
    <w:rsid w:val="00EA0318"/>
    <w:rsid w:val="00EA5A45"/>
    <w:rsid w:val="00EA7BAC"/>
    <w:rsid w:val="00EC6E1F"/>
    <w:rsid w:val="00ED22EB"/>
    <w:rsid w:val="00EE0420"/>
    <w:rsid w:val="00F0063B"/>
    <w:rsid w:val="00F01BFA"/>
    <w:rsid w:val="00F03270"/>
    <w:rsid w:val="00F044B0"/>
    <w:rsid w:val="00F0747A"/>
    <w:rsid w:val="00F07A71"/>
    <w:rsid w:val="00F14901"/>
    <w:rsid w:val="00F1548E"/>
    <w:rsid w:val="00F1740F"/>
    <w:rsid w:val="00F17A3F"/>
    <w:rsid w:val="00F33DE6"/>
    <w:rsid w:val="00F34741"/>
    <w:rsid w:val="00F42CB4"/>
    <w:rsid w:val="00F44C42"/>
    <w:rsid w:val="00F44E9B"/>
    <w:rsid w:val="00F5021E"/>
    <w:rsid w:val="00F506A3"/>
    <w:rsid w:val="00F5235E"/>
    <w:rsid w:val="00F60AEA"/>
    <w:rsid w:val="00F67893"/>
    <w:rsid w:val="00F72430"/>
    <w:rsid w:val="00F814BC"/>
    <w:rsid w:val="00F818E4"/>
    <w:rsid w:val="00F84AF8"/>
    <w:rsid w:val="00F92017"/>
    <w:rsid w:val="00F93E41"/>
    <w:rsid w:val="00FA2602"/>
    <w:rsid w:val="00FB2B2B"/>
    <w:rsid w:val="00FD40D0"/>
    <w:rsid w:val="00FD5CE4"/>
    <w:rsid w:val="00FD646B"/>
    <w:rsid w:val="00FE6F7F"/>
    <w:rsid w:val="00FE7B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765E1"/>
  <w15:chartTrackingRefBased/>
  <w15:docId w15:val="{D32C37AD-4C80-4FE7-B16D-228E7D4F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240"/>
      <w:jc w:val="both"/>
    </w:pPr>
    <w:rPr>
      <w:sz w:val="24"/>
      <w:lang w:bidi="fi-FI"/>
    </w:rPr>
  </w:style>
  <w:style w:type="paragraph" w:styleId="Otsikko1">
    <w:name w:val="heading 1"/>
    <w:basedOn w:val="Normaali"/>
    <w:next w:val="Text1"/>
    <w:qFormat/>
    <w:pPr>
      <w:keepNext/>
      <w:numPr>
        <w:numId w:val="3"/>
      </w:numPr>
      <w:spacing w:before="240"/>
      <w:outlineLvl w:val="0"/>
    </w:pPr>
    <w:rPr>
      <w:b/>
      <w:smallCaps/>
    </w:rPr>
  </w:style>
  <w:style w:type="paragraph" w:styleId="Otsikko2">
    <w:name w:val="heading 2"/>
    <w:basedOn w:val="Normaali"/>
    <w:next w:val="Text2"/>
    <w:qFormat/>
    <w:rsid w:val="00335F28"/>
    <w:pPr>
      <w:keepNext/>
      <w:numPr>
        <w:ilvl w:val="1"/>
        <w:numId w:val="3"/>
      </w:numPr>
      <w:outlineLvl w:val="1"/>
    </w:pPr>
    <w:rPr>
      <w:b/>
    </w:rPr>
  </w:style>
  <w:style w:type="paragraph" w:styleId="Otsikko3">
    <w:name w:val="heading 3"/>
    <w:basedOn w:val="Normaali"/>
    <w:next w:val="Text3"/>
    <w:qFormat/>
    <w:pPr>
      <w:keepNext/>
      <w:numPr>
        <w:ilvl w:val="2"/>
        <w:numId w:val="3"/>
      </w:numPr>
      <w:outlineLvl w:val="2"/>
    </w:pPr>
    <w:rPr>
      <w:i/>
    </w:rPr>
  </w:style>
  <w:style w:type="paragraph" w:styleId="Otsikko4">
    <w:name w:val="heading 4"/>
    <w:basedOn w:val="Normaali"/>
    <w:next w:val="Text4"/>
    <w:qFormat/>
    <w:pPr>
      <w:keepNext/>
      <w:numPr>
        <w:ilvl w:val="3"/>
        <w:numId w:val="3"/>
      </w:numPr>
      <w:outlineLvl w:val="3"/>
    </w:pPr>
  </w:style>
  <w:style w:type="paragraph" w:styleId="Otsikko5">
    <w:name w:val="heading 5"/>
    <w:basedOn w:val="Normaali"/>
    <w:next w:val="Normaali"/>
    <w:qFormat/>
    <w:pPr>
      <w:tabs>
        <w:tab w:val="num" w:pos="0"/>
      </w:tabs>
      <w:spacing w:before="240" w:after="60"/>
      <w:outlineLvl w:val="4"/>
    </w:pPr>
    <w:rPr>
      <w:rFonts w:ascii="Arial" w:hAnsi="Arial"/>
      <w:sz w:val="22"/>
    </w:rPr>
  </w:style>
  <w:style w:type="paragraph" w:styleId="Otsikko6">
    <w:name w:val="heading 6"/>
    <w:basedOn w:val="Normaali"/>
    <w:next w:val="Normaali"/>
    <w:qFormat/>
    <w:pPr>
      <w:tabs>
        <w:tab w:val="num" w:pos="0"/>
      </w:tabs>
      <w:spacing w:before="240" w:after="60"/>
      <w:outlineLvl w:val="5"/>
    </w:pPr>
    <w:rPr>
      <w:rFonts w:ascii="Arial" w:hAnsi="Arial"/>
      <w:i/>
      <w:sz w:val="22"/>
    </w:rPr>
  </w:style>
  <w:style w:type="paragraph" w:styleId="Otsikko7">
    <w:name w:val="heading 7"/>
    <w:basedOn w:val="Normaali"/>
    <w:next w:val="Normaali"/>
    <w:qFormat/>
    <w:pPr>
      <w:tabs>
        <w:tab w:val="num" w:pos="0"/>
      </w:tabs>
      <w:spacing w:before="240" w:after="60"/>
      <w:outlineLvl w:val="6"/>
    </w:pPr>
    <w:rPr>
      <w:rFonts w:ascii="Arial" w:hAnsi="Arial"/>
      <w:sz w:val="20"/>
    </w:rPr>
  </w:style>
  <w:style w:type="paragraph" w:styleId="Otsikko8">
    <w:name w:val="heading 8"/>
    <w:basedOn w:val="Normaali"/>
    <w:next w:val="Normaali"/>
    <w:qFormat/>
    <w:pPr>
      <w:tabs>
        <w:tab w:val="num" w:pos="0"/>
      </w:tabs>
      <w:spacing w:before="240" w:after="60"/>
      <w:outlineLvl w:val="7"/>
    </w:pPr>
    <w:rPr>
      <w:rFonts w:ascii="Arial" w:hAnsi="Arial"/>
      <w:i/>
      <w:sz w:val="20"/>
    </w:rPr>
  </w:style>
  <w:style w:type="paragraph" w:styleId="Otsikko9">
    <w:name w:val="heading 9"/>
    <w:basedOn w:val="Normaali"/>
    <w:next w:val="Normaali"/>
    <w:qFormat/>
    <w:pPr>
      <w:tabs>
        <w:tab w:val="num" w:pos="0"/>
      </w:tabs>
      <w:spacing w:before="240" w:after="60"/>
      <w:outlineLvl w:val="8"/>
    </w:pPr>
    <w:rPr>
      <w:rFonts w:ascii="Arial" w:hAnsi="Arial"/>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1">
    <w:name w:val="Text 1"/>
    <w:basedOn w:val="Normaali"/>
    <w:pPr>
      <w:ind w:left="482"/>
    </w:pPr>
  </w:style>
  <w:style w:type="paragraph" w:customStyle="1" w:styleId="Text2">
    <w:name w:val="Text 2"/>
    <w:basedOn w:val="Normaali"/>
    <w:pPr>
      <w:tabs>
        <w:tab w:val="left" w:pos="2302"/>
      </w:tabs>
      <w:ind w:left="1202"/>
    </w:pPr>
  </w:style>
  <w:style w:type="paragraph" w:customStyle="1" w:styleId="Text3">
    <w:name w:val="Text 3"/>
    <w:basedOn w:val="Normaali"/>
    <w:pPr>
      <w:tabs>
        <w:tab w:val="left" w:pos="2302"/>
      </w:tabs>
      <w:ind w:left="1202"/>
    </w:pPr>
  </w:style>
  <w:style w:type="paragraph" w:customStyle="1" w:styleId="Text4">
    <w:name w:val="Text 4"/>
    <w:basedOn w:val="Normaali"/>
    <w:pPr>
      <w:tabs>
        <w:tab w:val="left" w:pos="2302"/>
      </w:tabs>
      <w:ind w:left="1202"/>
    </w:pPr>
  </w:style>
  <w:style w:type="paragraph" w:customStyle="1" w:styleId="Address">
    <w:name w:val="Address"/>
    <w:basedOn w:val="Normaali"/>
    <w:pPr>
      <w:spacing w:after="0"/>
      <w:jc w:val="left"/>
    </w:pPr>
  </w:style>
  <w:style w:type="paragraph" w:customStyle="1" w:styleId="AddressTL">
    <w:name w:val="AddressTL"/>
    <w:basedOn w:val="Normaali"/>
    <w:next w:val="Normaali"/>
    <w:pPr>
      <w:spacing w:after="720"/>
      <w:jc w:val="left"/>
    </w:pPr>
  </w:style>
  <w:style w:type="paragraph" w:customStyle="1" w:styleId="AddressTR">
    <w:name w:val="AddressTR"/>
    <w:basedOn w:val="Normaali"/>
    <w:next w:val="Normaali"/>
    <w:pPr>
      <w:spacing w:after="720"/>
      <w:ind w:left="5103"/>
      <w:jc w:val="left"/>
    </w:pPr>
  </w:style>
  <w:style w:type="paragraph" w:styleId="Lohkoteksti">
    <w:name w:val="Block Text"/>
    <w:basedOn w:val="Normaali"/>
    <w:pPr>
      <w:spacing w:after="120"/>
      <w:ind w:left="1440" w:right="1440"/>
    </w:pPr>
  </w:style>
  <w:style w:type="paragraph" w:styleId="Leipteksti">
    <w:name w:val="Body Text"/>
    <w:basedOn w:val="Normaali"/>
    <w:pPr>
      <w:spacing w:after="120"/>
    </w:pPr>
  </w:style>
  <w:style w:type="paragraph" w:styleId="Leipteksti2">
    <w:name w:val="Body Text 2"/>
    <w:basedOn w:val="Normaali"/>
    <w:pPr>
      <w:spacing w:after="120" w:line="480" w:lineRule="auto"/>
    </w:pPr>
  </w:style>
  <w:style w:type="paragraph" w:styleId="Leipteksti3">
    <w:name w:val="Body Text 3"/>
    <w:basedOn w:val="Normaali"/>
    <w:pPr>
      <w:spacing w:after="120"/>
    </w:pPr>
    <w:rPr>
      <w:sz w:val="16"/>
    </w:rPr>
  </w:style>
  <w:style w:type="paragraph" w:styleId="Leiptekstin1rivinsisennys">
    <w:name w:val="Body Text First Indent"/>
    <w:basedOn w:val="Leipteksti"/>
    <w:pPr>
      <w:ind w:firstLine="210"/>
    </w:pPr>
  </w:style>
  <w:style w:type="paragraph" w:styleId="Sisennettyleipteksti">
    <w:name w:val="Body Text Indent"/>
    <w:basedOn w:val="Normaali"/>
    <w:pPr>
      <w:spacing w:after="120"/>
      <w:ind w:left="283"/>
    </w:pPr>
  </w:style>
  <w:style w:type="paragraph" w:styleId="Leiptekstin1rivinsisennys2">
    <w:name w:val="Body Text First Indent 2"/>
    <w:basedOn w:val="Sisennettyleipteksti"/>
    <w:pPr>
      <w:ind w:firstLine="210"/>
    </w:pPr>
  </w:style>
  <w:style w:type="paragraph" w:styleId="Sisennettyleipteksti2">
    <w:name w:val="Body Text Indent 2"/>
    <w:basedOn w:val="Normaali"/>
    <w:pPr>
      <w:spacing w:after="120" w:line="480" w:lineRule="auto"/>
      <w:ind w:left="283"/>
    </w:pPr>
  </w:style>
  <w:style w:type="paragraph" w:styleId="Sisennettyleipteksti3">
    <w:name w:val="Body Text Indent 3"/>
    <w:basedOn w:val="Normaali"/>
    <w:pPr>
      <w:spacing w:after="120"/>
      <w:ind w:left="283"/>
    </w:pPr>
    <w:rPr>
      <w:sz w:val="16"/>
    </w:rPr>
  </w:style>
  <w:style w:type="paragraph" w:customStyle="1" w:styleId="Kuvanotsikko">
    <w:name w:val="Kuvan otsikko"/>
    <w:basedOn w:val="Normaali"/>
    <w:next w:val="Normaali"/>
    <w:qFormat/>
    <w:pPr>
      <w:spacing w:before="120" w:after="120"/>
    </w:pPr>
    <w:rPr>
      <w:b/>
    </w:rPr>
  </w:style>
  <w:style w:type="paragraph" w:customStyle="1" w:styleId="ChapterTitle">
    <w:name w:val="ChapterTitle"/>
    <w:basedOn w:val="Normaali"/>
    <w:next w:val="SectionTitle"/>
    <w:pPr>
      <w:keepNext/>
      <w:spacing w:after="480"/>
      <w:jc w:val="center"/>
    </w:pPr>
    <w:rPr>
      <w:b/>
      <w:sz w:val="32"/>
    </w:rPr>
  </w:style>
  <w:style w:type="paragraph" w:customStyle="1" w:styleId="SectionTitle">
    <w:name w:val="SectionTitle"/>
    <w:basedOn w:val="Normaali"/>
    <w:next w:val="Otsikko1"/>
    <w:pPr>
      <w:keepNext/>
      <w:spacing w:after="480"/>
      <w:jc w:val="center"/>
    </w:pPr>
    <w:rPr>
      <w:b/>
      <w:smallCaps/>
      <w:sz w:val="28"/>
    </w:rPr>
  </w:style>
  <w:style w:type="paragraph" w:styleId="Lopetus">
    <w:name w:val="Closing"/>
    <w:basedOn w:val="Normaali"/>
    <w:pPr>
      <w:ind w:left="4252"/>
    </w:pPr>
  </w:style>
  <w:style w:type="paragraph" w:styleId="Kommentinteksti">
    <w:name w:val="annotation text"/>
    <w:basedOn w:val="Normaali"/>
    <w:link w:val="KommentintekstiChar"/>
    <w:semiHidden/>
    <w:rPr>
      <w:sz w:val="20"/>
      <w:lang w:val="x-none" w:eastAsia="x-none"/>
    </w:rPr>
  </w:style>
  <w:style w:type="paragraph" w:styleId="Pivmr">
    <w:name w:val="Date"/>
    <w:basedOn w:val="Normaali"/>
    <w:next w:val="References"/>
    <w:link w:val="PivmrChar"/>
    <w:uiPriority w:val="99"/>
    <w:pPr>
      <w:spacing w:after="0"/>
      <w:ind w:left="5103" w:right="-567"/>
      <w:jc w:val="left"/>
    </w:pPr>
    <w:rPr>
      <w:lang w:val="x-none" w:bidi="ar-SA"/>
    </w:rPr>
  </w:style>
  <w:style w:type="paragraph" w:customStyle="1" w:styleId="References">
    <w:name w:val="References"/>
    <w:basedOn w:val="Normaali"/>
    <w:next w:val="AddressTR"/>
    <w:uiPriority w:val="99"/>
    <w:pPr>
      <w:ind w:left="5103"/>
      <w:jc w:val="left"/>
    </w:pPr>
    <w:rPr>
      <w:sz w:val="20"/>
    </w:rPr>
  </w:style>
  <w:style w:type="paragraph" w:styleId="Asiakirjanrakenneruutu">
    <w:name w:val="Document Map"/>
    <w:basedOn w:val="Normaali"/>
    <w:semiHidden/>
    <w:pPr>
      <w:shd w:val="clear" w:color="auto" w:fill="000080"/>
    </w:pPr>
    <w:rPr>
      <w:rFonts w:ascii="Tahoma" w:hAnsi="Tahoma"/>
    </w:rPr>
  </w:style>
  <w:style w:type="paragraph" w:customStyle="1" w:styleId="DoubSign">
    <w:name w:val="DoubSign"/>
    <w:basedOn w:val="Normaali"/>
    <w:next w:val="Enclosures"/>
    <w:pPr>
      <w:tabs>
        <w:tab w:val="left" w:pos="5103"/>
      </w:tabs>
      <w:spacing w:before="1200" w:after="0"/>
      <w:jc w:val="left"/>
    </w:pPr>
  </w:style>
  <w:style w:type="paragraph" w:customStyle="1" w:styleId="Enclosures">
    <w:name w:val="Enclosures"/>
    <w:basedOn w:val="Normaali"/>
    <w:pPr>
      <w:keepNext/>
      <w:keepLines/>
      <w:tabs>
        <w:tab w:val="left" w:pos="5642"/>
      </w:tabs>
      <w:spacing w:before="480" w:after="0"/>
      <w:ind w:left="1191" w:hanging="1191"/>
      <w:jc w:val="left"/>
    </w:pPr>
  </w:style>
  <w:style w:type="paragraph" w:styleId="Loppuviitteenteksti">
    <w:name w:val="endnote text"/>
    <w:basedOn w:val="Normaali"/>
    <w:semiHidden/>
    <w:rPr>
      <w:sz w:val="20"/>
    </w:rPr>
  </w:style>
  <w:style w:type="paragraph" w:styleId="Kirjekuorenosoite">
    <w:name w:val="envelope address"/>
    <w:basedOn w:val="Normaali"/>
    <w:pPr>
      <w:framePr w:w="7920" w:h="1980" w:hRule="exact" w:hSpace="180" w:wrap="auto" w:hAnchor="page" w:xAlign="center" w:yAlign="bottom"/>
      <w:spacing w:after="0"/>
    </w:pPr>
  </w:style>
  <w:style w:type="paragraph" w:styleId="Kirjekuorenpalautusosoite">
    <w:name w:val="envelope return"/>
    <w:basedOn w:val="Normaali"/>
    <w:pPr>
      <w:spacing w:after="0"/>
    </w:pPr>
    <w:rPr>
      <w:sz w:val="20"/>
    </w:rPr>
  </w:style>
  <w:style w:type="paragraph" w:styleId="Alatunniste">
    <w:name w:val="footer"/>
    <w:basedOn w:val="Normaali"/>
    <w:link w:val="AlatunnisteChar"/>
    <w:uiPriority w:val="99"/>
    <w:pPr>
      <w:spacing w:after="0"/>
      <w:ind w:right="-567"/>
      <w:jc w:val="left"/>
    </w:pPr>
    <w:rPr>
      <w:rFonts w:ascii="Arial" w:hAnsi="Arial"/>
      <w:sz w:val="16"/>
      <w:lang w:val="x-none" w:bidi="ar-SA"/>
    </w:rPr>
  </w:style>
  <w:style w:type="paragraph" w:styleId="Alaviitteenteksti">
    <w:name w:val="footnote text"/>
    <w:basedOn w:val="Normaali"/>
    <w:link w:val="AlaviitteentekstiChar"/>
    <w:uiPriority w:val="99"/>
    <w:semiHidden/>
    <w:pPr>
      <w:ind w:left="357" w:hanging="357"/>
    </w:pPr>
    <w:rPr>
      <w:sz w:val="20"/>
      <w:lang w:val="x-none" w:bidi="ar-SA"/>
    </w:rPr>
  </w:style>
  <w:style w:type="paragraph" w:styleId="Yltunniste">
    <w:name w:val="header"/>
    <w:basedOn w:val="Normaali"/>
    <w:link w:val="YltunnisteChar"/>
    <w:uiPriority w:val="99"/>
    <w:pPr>
      <w:tabs>
        <w:tab w:val="center" w:pos="4153"/>
        <w:tab w:val="right" w:pos="8306"/>
      </w:tabs>
    </w:pPr>
    <w:rPr>
      <w:lang w:val="x-none" w:bidi="ar-SA"/>
    </w:rPr>
  </w:style>
  <w:style w:type="paragraph" w:styleId="Hakemisto1">
    <w:name w:val="index 1"/>
    <w:basedOn w:val="Normaali"/>
    <w:next w:val="Normaali"/>
    <w:autoRedefine/>
    <w:semiHidden/>
    <w:pPr>
      <w:ind w:left="240" w:hanging="240"/>
    </w:pPr>
  </w:style>
  <w:style w:type="paragraph" w:styleId="Hakemisto2">
    <w:name w:val="index 2"/>
    <w:basedOn w:val="Normaali"/>
    <w:next w:val="Normaali"/>
    <w:autoRedefine/>
    <w:semiHidden/>
    <w:pPr>
      <w:ind w:left="480" w:hanging="240"/>
    </w:pPr>
  </w:style>
  <w:style w:type="paragraph" w:styleId="Hakemisto3">
    <w:name w:val="index 3"/>
    <w:basedOn w:val="Normaali"/>
    <w:next w:val="Normaali"/>
    <w:autoRedefine/>
    <w:semiHidden/>
    <w:pPr>
      <w:ind w:left="720" w:hanging="240"/>
    </w:pPr>
  </w:style>
  <w:style w:type="paragraph" w:styleId="Hakemisto4">
    <w:name w:val="index 4"/>
    <w:basedOn w:val="Normaali"/>
    <w:next w:val="Normaali"/>
    <w:autoRedefine/>
    <w:semiHidden/>
    <w:pPr>
      <w:ind w:left="960" w:hanging="240"/>
    </w:pPr>
  </w:style>
  <w:style w:type="paragraph" w:styleId="Hakemisto5">
    <w:name w:val="index 5"/>
    <w:basedOn w:val="Normaali"/>
    <w:next w:val="Normaali"/>
    <w:autoRedefine/>
    <w:semiHidden/>
    <w:pPr>
      <w:ind w:left="1200" w:hanging="240"/>
    </w:pPr>
  </w:style>
  <w:style w:type="paragraph" w:styleId="Hakemisto6">
    <w:name w:val="index 6"/>
    <w:basedOn w:val="Normaali"/>
    <w:next w:val="Normaali"/>
    <w:autoRedefine/>
    <w:semiHidden/>
    <w:pPr>
      <w:ind w:left="1440" w:hanging="240"/>
    </w:pPr>
  </w:style>
  <w:style w:type="paragraph" w:styleId="Hakemisto7">
    <w:name w:val="index 7"/>
    <w:basedOn w:val="Normaali"/>
    <w:next w:val="Normaali"/>
    <w:autoRedefine/>
    <w:semiHidden/>
    <w:pPr>
      <w:ind w:left="1680" w:hanging="240"/>
    </w:pPr>
  </w:style>
  <w:style w:type="paragraph" w:styleId="Hakemisto8">
    <w:name w:val="index 8"/>
    <w:basedOn w:val="Normaali"/>
    <w:next w:val="Normaali"/>
    <w:autoRedefine/>
    <w:semiHidden/>
    <w:pPr>
      <w:ind w:left="1920" w:hanging="240"/>
    </w:pPr>
  </w:style>
  <w:style w:type="paragraph" w:styleId="Hakemisto9">
    <w:name w:val="index 9"/>
    <w:basedOn w:val="Normaali"/>
    <w:next w:val="Normaali"/>
    <w:autoRedefine/>
    <w:semiHidden/>
    <w:pPr>
      <w:ind w:left="2160" w:hanging="240"/>
    </w:pPr>
  </w:style>
  <w:style w:type="paragraph" w:styleId="Hakemistonotsikko">
    <w:name w:val="index heading"/>
    <w:basedOn w:val="Normaali"/>
    <w:next w:val="Hakemisto1"/>
    <w:semiHidden/>
    <w:rPr>
      <w:rFonts w:ascii="Arial" w:hAnsi="Arial"/>
      <w:b/>
    </w:rPr>
  </w:style>
  <w:style w:type="paragraph" w:styleId="Luettelo">
    <w:name w:val="List"/>
    <w:basedOn w:val="Normaali"/>
    <w:pPr>
      <w:ind w:left="283" w:hanging="283"/>
    </w:pPr>
  </w:style>
  <w:style w:type="paragraph" w:styleId="Luettelo2">
    <w:name w:val="List 2"/>
    <w:basedOn w:val="Normaali"/>
    <w:pPr>
      <w:ind w:left="566" w:hanging="283"/>
    </w:pPr>
  </w:style>
  <w:style w:type="paragraph" w:styleId="Luettelo3">
    <w:name w:val="List 3"/>
    <w:basedOn w:val="Normaali"/>
    <w:pPr>
      <w:ind w:left="849" w:hanging="283"/>
    </w:pPr>
  </w:style>
  <w:style w:type="paragraph" w:styleId="Luettelo4">
    <w:name w:val="List 4"/>
    <w:basedOn w:val="Normaali"/>
    <w:pPr>
      <w:ind w:left="1132" w:hanging="283"/>
    </w:pPr>
  </w:style>
  <w:style w:type="paragraph" w:styleId="Luettelo5">
    <w:name w:val="List 5"/>
    <w:basedOn w:val="Normaali"/>
    <w:pPr>
      <w:ind w:left="1415" w:hanging="283"/>
    </w:pPr>
  </w:style>
  <w:style w:type="paragraph" w:styleId="Merkittyluettelo">
    <w:name w:val="List Bullet"/>
    <w:basedOn w:val="Normaali"/>
    <w:pPr>
      <w:numPr>
        <w:numId w:val="4"/>
      </w:numPr>
    </w:pPr>
  </w:style>
  <w:style w:type="paragraph" w:styleId="Merkittyluettelo2">
    <w:name w:val="List Bullet 2"/>
    <w:basedOn w:val="Text2"/>
    <w:pPr>
      <w:numPr>
        <w:numId w:val="6"/>
      </w:numPr>
      <w:tabs>
        <w:tab w:val="clear" w:pos="2302"/>
      </w:tabs>
    </w:pPr>
  </w:style>
  <w:style w:type="paragraph" w:styleId="Merkittyluettelo3">
    <w:name w:val="List Bullet 3"/>
    <w:basedOn w:val="Text3"/>
    <w:pPr>
      <w:numPr>
        <w:numId w:val="7"/>
      </w:numPr>
      <w:tabs>
        <w:tab w:val="clear" w:pos="2302"/>
      </w:tabs>
    </w:pPr>
  </w:style>
  <w:style w:type="paragraph" w:styleId="Merkittyluettelo4">
    <w:name w:val="List Bullet 4"/>
    <w:basedOn w:val="Text4"/>
    <w:pPr>
      <w:numPr>
        <w:numId w:val="8"/>
      </w:numPr>
      <w:tabs>
        <w:tab w:val="clear" w:pos="2302"/>
      </w:tabs>
    </w:pPr>
  </w:style>
  <w:style w:type="paragraph" w:styleId="Merkittyluettelo5">
    <w:name w:val="List Bullet 5"/>
    <w:basedOn w:val="Normaali"/>
    <w:autoRedefine/>
    <w:pPr>
      <w:numPr>
        <w:numId w:val="1"/>
      </w:numPr>
    </w:pPr>
  </w:style>
  <w:style w:type="paragraph" w:styleId="Jatkoluettelo">
    <w:name w:val="List Continue"/>
    <w:basedOn w:val="Normaali"/>
    <w:pPr>
      <w:spacing w:after="120"/>
      <w:ind w:left="283"/>
    </w:pPr>
  </w:style>
  <w:style w:type="paragraph" w:styleId="Jatkoluettelo2">
    <w:name w:val="List Continue 2"/>
    <w:basedOn w:val="Normaali"/>
    <w:pPr>
      <w:spacing w:after="120"/>
      <w:ind w:left="566"/>
    </w:pPr>
  </w:style>
  <w:style w:type="paragraph" w:styleId="Jatkoluettelo3">
    <w:name w:val="List Continue 3"/>
    <w:basedOn w:val="Normaali"/>
    <w:pPr>
      <w:spacing w:after="120"/>
      <w:ind w:left="849"/>
    </w:pPr>
  </w:style>
  <w:style w:type="paragraph" w:styleId="Jatkoluettelo4">
    <w:name w:val="List Continue 4"/>
    <w:basedOn w:val="Normaali"/>
    <w:pPr>
      <w:spacing w:after="120"/>
      <w:ind w:left="1132"/>
    </w:pPr>
  </w:style>
  <w:style w:type="paragraph" w:styleId="Jatkoluettelo5">
    <w:name w:val="List Continue 5"/>
    <w:basedOn w:val="Normaali"/>
    <w:pPr>
      <w:spacing w:after="120"/>
      <w:ind w:left="1415"/>
    </w:pPr>
  </w:style>
  <w:style w:type="paragraph" w:styleId="Numeroituluettelo">
    <w:name w:val="List Number"/>
    <w:basedOn w:val="Normaali"/>
    <w:pPr>
      <w:numPr>
        <w:numId w:val="14"/>
      </w:numPr>
    </w:pPr>
  </w:style>
  <w:style w:type="paragraph" w:styleId="Numeroituluettelo2">
    <w:name w:val="List Number 2"/>
    <w:basedOn w:val="Text2"/>
    <w:pPr>
      <w:numPr>
        <w:numId w:val="16"/>
      </w:numPr>
      <w:tabs>
        <w:tab w:val="clear" w:pos="2302"/>
      </w:tabs>
    </w:pPr>
  </w:style>
  <w:style w:type="paragraph" w:styleId="Numeroituluettelo3">
    <w:name w:val="List Number 3"/>
    <w:basedOn w:val="Text3"/>
    <w:pPr>
      <w:numPr>
        <w:numId w:val="17"/>
      </w:numPr>
      <w:tabs>
        <w:tab w:val="clear" w:pos="2302"/>
      </w:tabs>
    </w:pPr>
  </w:style>
  <w:style w:type="paragraph" w:styleId="Numeroituluettelo4">
    <w:name w:val="List Number 4"/>
    <w:basedOn w:val="Text4"/>
    <w:pPr>
      <w:numPr>
        <w:numId w:val="18"/>
      </w:numPr>
      <w:tabs>
        <w:tab w:val="clear" w:pos="2302"/>
      </w:tabs>
    </w:pPr>
  </w:style>
  <w:style w:type="paragraph" w:styleId="Numeroituluettelo5">
    <w:name w:val="List Number 5"/>
    <w:basedOn w:val="Normaali"/>
    <w:pPr>
      <w:numPr>
        <w:numId w:val="2"/>
      </w:numPr>
    </w:pPr>
  </w:style>
  <w:style w:type="paragraph" w:styleId="Makrotekst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bidi="fi-FI"/>
    </w:rPr>
  </w:style>
  <w:style w:type="paragraph" w:styleId="Viestinotsikko">
    <w:name w:val="Message Header"/>
    <w:basedOn w:val="Normaali"/>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Vakiosisennys">
    <w:name w:val="Normal Indent"/>
    <w:basedOn w:val="Normaali"/>
    <w:pPr>
      <w:ind w:left="720"/>
    </w:pPr>
  </w:style>
  <w:style w:type="paragraph" w:styleId="Huomautuksenotsikko">
    <w:name w:val="Note Heading"/>
    <w:basedOn w:val="Normaali"/>
    <w:next w:val="Normaali"/>
  </w:style>
  <w:style w:type="paragraph" w:customStyle="1" w:styleId="NoteHead">
    <w:name w:val="NoteHead"/>
    <w:basedOn w:val="Normaali"/>
    <w:next w:val="Subject"/>
    <w:uiPriority w:val="99"/>
    <w:pPr>
      <w:spacing w:before="720" w:after="720"/>
      <w:jc w:val="center"/>
    </w:pPr>
    <w:rPr>
      <w:b/>
      <w:smallCaps/>
    </w:rPr>
  </w:style>
  <w:style w:type="paragraph" w:customStyle="1" w:styleId="Subject">
    <w:name w:val="Subject"/>
    <w:basedOn w:val="Normaali"/>
    <w:next w:val="Normaali"/>
    <w:uiPriority w:val="99"/>
    <w:pPr>
      <w:spacing w:after="480"/>
      <w:ind w:left="1531" w:hanging="1531"/>
      <w:jc w:val="left"/>
    </w:pPr>
    <w:rPr>
      <w:b/>
    </w:rPr>
  </w:style>
  <w:style w:type="paragraph" w:customStyle="1" w:styleId="NoteList">
    <w:name w:val="NoteList"/>
    <w:basedOn w:val="Normaali"/>
    <w:next w:val="Subject"/>
    <w:pPr>
      <w:tabs>
        <w:tab w:val="left" w:pos="5823"/>
      </w:tabs>
      <w:spacing w:before="720" w:after="720"/>
      <w:ind w:left="5104" w:hanging="3119"/>
      <w:jc w:val="left"/>
    </w:pPr>
    <w:rPr>
      <w:b/>
      <w:smallCaps/>
    </w:rPr>
  </w:style>
  <w:style w:type="paragraph" w:customStyle="1" w:styleId="NumPar1">
    <w:name w:val="NumPar 1"/>
    <w:basedOn w:val="Otsikko1"/>
    <w:next w:val="Text1"/>
    <w:pPr>
      <w:keepNext w:val="0"/>
      <w:spacing w:before="0"/>
      <w:outlineLvl w:val="9"/>
    </w:pPr>
    <w:rPr>
      <w:b w:val="0"/>
      <w:smallCaps w:val="0"/>
    </w:rPr>
  </w:style>
  <w:style w:type="paragraph" w:customStyle="1" w:styleId="NumPar2">
    <w:name w:val="NumPar 2"/>
    <w:basedOn w:val="Otsikko2"/>
    <w:next w:val="Text2"/>
    <w:pPr>
      <w:keepNext w:val="0"/>
      <w:outlineLvl w:val="9"/>
    </w:pPr>
    <w:rPr>
      <w:b w:val="0"/>
    </w:rPr>
  </w:style>
  <w:style w:type="paragraph" w:customStyle="1" w:styleId="NumPar3">
    <w:name w:val="NumPar 3"/>
    <w:basedOn w:val="Otsikko3"/>
    <w:next w:val="Text3"/>
    <w:pPr>
      <w:keepNext w:val="0"/>
      <w:outlineLvl w:val="9"/>
    </w:pPr>
    <w:rPr>
      <w:i w:val="0"/>
    </w:rPr>
  </w:style>
  <w:style w:type="paragraph" w:customStyle="1" w:styleId="NumPar4">
    <w:name w:val="NumPar 4"/>
    <w:basedOn w:val="Otsikko4"/>
    <w:next w:val="Text4"/>
    <w:pPr>
      <w:keepNext w:val="0"/>
      <w:outlineLvl w:val="9"/>
    </w:pPr>
  </w:style>
  <w:style w:type="paragraph" w:customStyle="1" w:styleId="PartTitle">
    <w:name w:val="PartTitle"/>
    <w:basedOn w:val="Normaali"/>
    <w:next w:val="ChapterTitle"/>
    <w:pPr>
      <w:keepNext/>
      <w:pageBreakBefore/>
      <w:spacing w:after="480"/>
      <w:jc w:val="center"/>
    </w:pPr>
    <w:rPr>
      <w:b/>
      <w:sz w:val="36"/>
    </w:rPr>
  </w:style>
  <w:style w:type="paragraph" w:styleId="Vaintekstin">
    <w:name w:val="Plain Text"/>
    <w:basedOn w:val="Normaali"/>
    <w:rPr>
      <w:rFonts w:ascii="Courier New" w:hAnsi="Courier New"/>
      <w:sz w:val="20"/>
    </w:rPr>
  </w:style>
  <w:style w:type="paragraph" w:styleId="Tervehdys">
    <w:name w:val="Salutation"/>
    <w:basedOn w:val="Normaali"/>
    <w:next w:val="Normaali"/>
  </w:style>
  <w:style w:type="paragraph" w:styleId="Allekirjoitus">
    <w:name w:val="Signature"/>
    <w:basedOn w:val="Normaali"/>
    <w:next w:val="Enclosures"/>
    <w:pPr>
      <w:tabs>
        <w:tab w:val="left" w:pos="5103"/>
      </w:tabs>
      <w:spacing w:before="1200" w:after="0"/>
      <w:ind w:left="5103"/>
      <w:jc w:val="center"/>
    </w:pPr>
  </w:style>
  <w:style w:type="paragraph" w:styleId="Alaotsikko">
    <w:name w:val="Subtitle"/>
    <w:basedOn w:val="Normaali"/>
    <w:qFormat/>
    <w:pPr>
      <w:spacing w:after="60"/>
      <w:jc w:val="center"/>
      <w:outlineLvl w:val="1"/>
    </w:pPr>
    <w:rPr>
      <w:rFonts w:ascii="Arial" w:hAnsi="Arial"/>
    </w:rPr>
  </w:style>
  <w:style w:type="paragraph" w:customStyle="1" w:styleId="SubTitle1">
    <w:name w:val="SubTitle 1"/>
    <w:basedOn w:val="Normaali"/>
    <w:next w:val="SubTitle2"/>
    <w:pPr>
      <w:jc w:val="center"/>
    </w:pPr>
    <w:rPr>
      <w:b/>
      <w:sz w:val="40"/>
    </w:rPr>
  </w:style>
  <w:style w:type="paragraph" w:customStyle="1" w:styleId="SubTitle2">
    <w:name w:val="SubTitle 2"/>
    <w:basedOn w:val="Normaali"/>
    <w:pPr>
      <w:jc w:val="center"/>
    </w:pPr>
    <w:rPr>
      <w:b/>
      <w:sz w:val="32"/>
    </w:rPr>
  </w:style>
  <w:style w:type="paragraph" w:styleId="Lhdeviiteluettelo">
    <w:name w:val="table of authorities"/>
    <w:basedOn w:val="Normaali"/>
    <w:next w:val="Normaali"/>
    <w:semiHidden/>
    <w:pPr>
      <w:ind w:left="240" w:hanging="240"/>
    </w:pPr>
  </w:style>
  <w:style w:type="paragraph" w:styleId="Kuvaotsikkoluettelo">
    <w:name w:val="table of figures"/>
    <w:basedOn w:val="Normaali"/>
    <w:next w:val="Normaali"/>
    <w:semiHidden/>
    <w:pPr>
      <w:ind w:left="480" w:hanging="480"/>
    </w:pPr>
  </w:style>
  <w:style w:type="paragraph" w:styleId="Otsikko">
    <w:name w:val="Title"/>
    <w:basedOn w:val="Normaali"/>
    <w:next w:val="SubTitle1"/>
    <w:qFormat/>
    <w:pPr>
      <w:spacing w:after="480"/>
      <w:jc w:val="center"/>
    </w:pPr>
    <w:rPr>
      <w:b/>
      <w:kern w:val="28"/>
      <w:sz w:val="48"/>
    </w:rPr>
  </w:style>
  <w:style w:type="paragraph" w:styleId="Lhdeluettelonotsikko">
    <w:name w:val="toa heading"/>
    <w:basedOn w:val="Normaali"/>
    <w:next w:val="Normaali"/>
    <w:semiHidden/>
    <w:pPr>
      <w:spacing w:before="120"/>
    </w:pPr>
    <w:rPr>
      <w:rFonts w:ascii="Arial" w:hAnsi="Arial"/>
      <w:b/>
    </w:rPr>
  </w:style>
  <w:style w:type="paragraph" w:styleId="Sisluet1">
    <w:name w:val="toc 1"/>
    <w:basedOn w:val="Normaali"/>
    <w:next w:val="Normaali"/>
    <w:uiPriority w:val="39"/>
    <w:pPr>
      <w:tabs>
        <w:tab w:val="right" w:leader="dot" w:pos="8640"/>
      </w:tabs>
      <w:spacing w:before="120" w:after="120"/>
      <w:ind w:left="482" w:right="720" w:hanging="482"/>
    </w:pPr>
    <w:rPr>
      <w:caps/>
    </w:rPr>
  </w:style>
  <w:style w:type="paragraph" w:styleId="Sisluet2">
    <w:name w:val="toc 2"/>
    <w:basedOn w:val="Normaali"/>
    <w:next w:val="Normaali"/>
    <w:uiPriority w:val="39"/>
    <w:pPr>
      <w:tabs>
        <w:tab w:val="right" w:leader="dot" w:pos="8640"/>
      </w:tabs>
      <w:spacing w:before="60" w:after="60"/>
      <w:ind w:left="1077" w:right="720" w:hanging="595"/>
    </w:pPr>
  </w:style>
  <w:style w:type="paragraph" w:styleId="Sisluet3">
    <w:name w:val="toc 3"/>
    <w:basedOn w:val="Normaali"/>
    <w:next w:val="Normaali"/>
    <w:uiPriority w:val="39"/>
    <w:pPr>
      <w:tabs>
        <w:tab w:val="right" w:leader="dot" w:pos="8640"/>
      </w:tabs>
      <w:spacing w:before="60" w:after="60"/>
      <w:ind w:left="1916" w:right="720" w:hanging="839"/>
    </w:pPr>
  </w:style>
  <w:style w:type="paragraph" w:styleId="Sisluet4">
    <w:name w:val="toc 4"/>
    <w:basedOn w:val="Normaali"/>
    <w:next w:val="Normaali"/>
    <w:semiHidden/>
    <w:pPr>
      <w:tabs>
        <w:tab w:val="right" w:leader="dot" w:pos="8641"/>
      </w:tabs>
      <w:spacing w:before="60" w:after="60"/>
      <w:ind w:left="2880" w:right="720" w:hanging="964"/>
    </w:pPr>
  </w:style>
  <w:style w:type="paragraph" w:styleId="Sisluet5">
    <w:name w:val="toc 5"/>
    <w:basedOn w:val="Normaali"/>
    <w:next w:val="Normaali"/>
    <w:semiHidden/>
    <w:pPr>
      <w:tabs>
        <w:tab w:val="right" w:leader="dot" w:pos="8641"/>
      </w:tabs>
      <w:spacing w:before="240" w:after="120"/>
      <w:ind w:right="720"/>
    </w:pPr>
    <w:rPr>
      <w:caps/>
    </w:rPr>
  </w:style>
  <w:style w:type="paragraph" w:styleId="Sisluet6">
    <w:name w:val="toc 6"/>
    <w:basedOn w:val="Normaali"/>
    <w:next w:val="Normaali"/>
    <w:autoRedefine/>
    <w:semiHidden/>
    <w:pPr>
      <w:ind w:left="1200"/>
    </w:pPr>
  </w:style>
  <w:style w:type="paragraph" w:styleId="Sisluet7">
    <w:name w:val="toc 7"/>
    <w:basedOn w:val="Normaali"/>
    <w:next w:val="Normaali"/>
    <w:autoRedefine/>
    <w:semiHidden/>
    <w:pPr>
      <w:ind w:left="1440"/>
    </w:pPr>
  </w:style>
  <w:style w:type="paragraph" w:styleId="Sisluet8">
    <w:name w:val="toc 8"/>
    <w:basedOn w:val="Normaali"/>
    <w:next w:val="Normaali"/>
    <w:autoRedefine/>
    <w:semiHidden/>
    <w:pPr>
      <w:ind w:left="1680"/>
    </w:pPr>
  </w:style>
  <w:style w:type="paragraph" w:styleId="Sisluet9">
    <w:name w:val="toc 9"/>
    <w:basedOn w:val="Normaali"/>
    <w:next w:val="Normaali"/>
    <w:autoRedefine/>
    <w:semiHidden/>
    <w:pPr>
      <w:ind w:left="1920"/>
    </w:pPr>
  </w:style>
  <w:style w:type="paragraph" w:customStyle="1" w:styleId="YReferences">
    <w:name w:val="YReferences"/>
    <w:basedOn w:val="Normaali"/>
    <w:next w:val="Normaali"/>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ali"/>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ali"/>
    <w:pPr>
      <w:numPr>
        <w:ilvl w:val="1"/>
        <w:numId w:val="14"/>
      </w:numPr>
    </w:pPr>
  </w:style>
  <w:style w:type="paragraph" w:customStyle="1" w:styleId="ListNumberLevel3">
    <w:name w:val="List Number (Level 3)"/>
    <w:basedOn w:val="Normaali"/>
    <w:pPr>
      <w:numPr>
        <w:ilvl w:val="2"/>
        <w:numId w:val="14"/>
      </w:numPr>
    </w:pPr>
  </w:style>
  <w:style w:type="paragraph" w:customStyle="1" w:styleId="ListNumberLevel4">
    <w:name w:val="List Number (Level 4)"/>
    <w:basedOn w:val="Normaali"/>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Sisllysluettelonotsikko">
    <w:name w:val="TOC Heading"/>
    <w:basedOn w:val="Normaali"/>
    <w:next w:val="Normaali"/>
    <w:uiPriority w:val="39"/>
    <w:qFormat/>
    <w:pPr>
      <w:keepNext/>
      <w:spacing w:before="240"/>
      <w:jc w:val="center"/>
    </w:pPr>
    <w:rPr>
      <w:b/>
    </w:rPr>
  </w:style>
  <w:style w:type="paragraph" w:customStyle="1" w:styleId="Contact">
    <w:name w:val="Contact"/>
    <w:basedOn w:val="Normaali"/>
    <w:next w:val="Normaali"/>
    <w:uiPriority w:val="99"/>
    <w:pPr>
      <w:spacing w:after="480"/>
      <w:ind w:left="567" w:hanging="567"/>
      <w:jc w:val="left"/>
    </w:pPr>
  </w:style>
  <w:style w:type="paragraph" w:customStyle="1" w:styleId="Designator">
    <w:name w:val="Designator"/>
    <w:basedOn w:val="Normaali"/>
    <w:pPr>
      <w:spacing w:after="0"/>
      <w:jc w:val="center"/>
    </w:pPr>
    <w:rPr>
      <w:b/>
      <w:caps/>
      <w:sz w:val="32"/>
    </w:rPr>
  </w:style>
  <w:style w:type="paragraph" w:customStyle="1" w:styleId="Releasable">
    <w:name w:val="Releasable"/>
    <w:basedOn w:val="Normaali"/>
    <w:qFormat/>
    <w:pPr>
      <w:spacing w:after="0"/>
      <w:jc w:val="center"/>
    </w:pPr>
    <w:rPr>
      <w:b/>
      <w:caps/>
      <w:sz w:val="32"/>
    </w:rPr>
  </w:style>
  <w:style w:type="paragraph" w:customStyle="1" w:styleId="RUE">
    <w:name w:val="RUE"/>
    <w:basedOn w:val="Normaali"/>
    <w:pPr>
      <w:spacing w:after="0"/>
      <w:jc w:val="center"/>
    </w:pPr>
    <w:rPr>
      <w:b/>
      <w:caps/>
      <w:sz w:val="32"/>
      <w:bdr w:val="single" w:sz="18" w:space="0" w:color="auto"/>
    </w:rPr>
  </w:style>
  <w:style w:type="paragraph" w:customStyle="1" w:styleId="ConfidentialUE">
    <w:name w:val="Confidential UE"/>
    <w:basedOn w:val="Normaali"/>
    <w:pPr>
      <w:spacing w:after="0"/>
      <w:jc w:val="center"/>
    </w:pPr>
    <w:rPr>
      <w:b/>
      <w:caps/>
      <w:sz w:val="32"/>
      <w:bdr w:val="single" w:sz="18" w:space="0" w:color="auto"/>
    </w:rPr>
  </w:style>
  <w:style w:type="paragraph" w:customStyle="1" w:styleId="SecretUE">
    <w:name w:val="Secret UE"/>
    <w:basedOn w:val="Normaali"/>
    <w:pPr>
      <w:spacing w:after="0"/>
      <w:jc w:val="center"/>
    </w:pPr>
    <w:rPr>
      <w:b/>
      <w:caps/>
      <w:color w:val="FF0000"/>
      <w:sz w:val="32"/>
      <w:bdr w:val="single" w:sz="18" w:space="0" w:color="FF0000"/>
    </w:rPr>
  </w:style>
  <w:style w:type="paragraph" w:customStyle="1" w:styleId="TrsSecretUE">
    <w:name w:val="Très Secret UE"/>
    <w:basedOn w:val="Normaali"/>
    <w:pPr>
      <w:spacing w:after="0"/>
      <w:jc w:val="center"/>
    </w:pPr>
    <w:rPr>
      <w:b/>
      <w:caps/>
      <w:color w:val="FF0000"/>
      <w:sz w:val="32"/>
      <w:bdr w:val="single" w:sz="18" w:space="0" w:color="FF0000"/>
    </w:rPr>
  </w:style>
  <w:style w:type="character" w:customStyle="1" w:styleId="AlatunnisteChar">
    <w:name w:val="Alatunniste Char"/>
    <w:link w:val="Alatunniste"/>
    <w:uiPriority w:val="99"/>
    <w:rsid w:val="0018281A"/>
    <w:rPr>
      <w:rFonts w:ascii="Arial" w:hAnsi="Arial"/>
      <w:sz w:val="16"/>
      <w:lang w:eastAsia="fi-FI"/>
    </w:rPr>
  </w:style>
  <w:style w:type="paragraph" w:customStyle="1" w:styleId="ZCom">
    <w:name w:val="Z_Com"/>
    <w:basedOn w:val="Normaali"/>
    <w:next w:val="ZDGName"/>
    <w:uiPriority w:val="99"/>
    <w:rsid w:val="0018281A"/>
    <w:pPr>
      <w:widowControl w:val="0"/>
      <w:autoSpaceDE w:val="0"/>
      <w:autoSpaceDN w:val="0"/>
      <w:spacing w:after="0"/>
      <w:ind w:right="85"/>
    </w:pPr>
    <w:rPr>
      <w:rFonts w:ascii="Arial" w:hAnsi="Arial" w:cs="Arial"/>
      <w:szCs w:val="24"/>
    </w:rPr>
  </w:style>
  <w:style w:type="paragraph" w:customStyle="1" w:styleId="ZDGName">
    <w:name w:val="Z_DGName"/>
    <w:basedOn w:val="Normaali"/>
    <w:uiPriority w:val="99"/>
    <w:rsid w:val="0018281A"/>
    <w:pPr>
      <w:widowControl w:val="0"/>
      <w:autoSpaceDE w:val="0"/>
      <w:autoSpaceDN w:val="0"/>
      <w:spacing w:after="0"/>
      <w:ind w:right="85"/>
      <w:jc w:val="left"/>
    </w:pPr>
    <w:rPr>
      <w:rFonts w:ascii="Arial" w:hAnsi="Arial" w:cs="Arial"/>
      <w:sz w:val="16"/>
      <w:szCs w:val="16"/>
    </w:rPr>
  </w:style>
  <w:style w:type="character" w:customStyle="1" w:styleId="YltunnisteChar">
    <w:name w:val="Ylätunniste Char"/>
    <w:link w:val="Yltunniste"/>
    <w:uiPriority w:val="99"/>
    <w:rsid w:val="0018281A"/>
    <w:rPr>
      <w:sz w:val="24"/>
      <w:lang w:eastAsia="fi-FI"/>
    </w:rPr>
  </w:style>
  <w:style w:type="paragraph" w:styleId="Seliteteksti">
    <w:name w:val="Balloon Text"/>
    <w:basedOn w:val="Normaali"/>
    <w:link w:val="SelitetekstiChar"/>
    <w:uiPriority w:val="99"/>
    <w:semiHidden/>
    <w:unhideWhenUsed/>
    <w:rsid w:val="00E90AA7"/>
    <w:pPr>
      <w:spacing w:after="0"/>
    </w:pPr>
    <w:rPr>
      <w:rFonts w:ascii="Arial" w:hAnsi="Arial"/>
      <w:sz w:val="16"/>
      <w:szCs w:val="16"/>
      <w:lang w:val="x-none" w:bidi="ar-SA"/>
    </w:rPr>
  </w:style>
  <w:style w:type="character" w:customStyle="1" w:styleId="SelitetekstiChar">
    <w:name w:val="Seliteteksti Char"/>
    <w:link w:val="Seliteteksti"/>
    <w:uiPriority w:val="99"/>
    <w:semiHidden/>
    <w:rsid w:val="00E90AA7"/>
    <w:rPr>
      <w:rFonts w:ascii="Arial" w:hAnsi="Arial" w:cs="Arial"/>
      <w:sz w:val="16"/>
      <w:szCs w:val="16"/>
      <w:lang w:eastAsia="fi-FI"/>
    </w:rPr>
  </w:style>
  <w:style w:type="character" w:styleId="Alaviitteenviite">
    <w:name w:val="footnote reference"/>
    <w:uiPriority w:val="99"/>
    <w:semiHidden/>
    <w:unhideWhenUsed/>
    <w:rsid w:val="00B067F4"/>
    <w:rPr>
      <w:vertAlign w:val="superscript"/>
    </w:rPr>
  </w:style>
  <w:style w:type="character" w:styleId="Hyperlinkki">
    <w:name w:val="Hyperlink"/>
    <w:uiPriority w:val="99"/>
    <w:unhideWhenUsed/>
    <w:rsid w:val="002E5045"/>
    <w:rPr>
      <w:color w:val="0000FF"/>
      <w:u w:val="single"/>
    </w:rPr>
  </w:style>
  <w:style w:type="table" w:styleId="TaulukkoRuudukko">
    <w:name w:val="Table Grid"/>
    <w:basedOn w:val="Normaalitaulukko"/>
    <w:uiPriority w:val="59"/>
    <w:rsid w:val="00367A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367AF3"/>
    <w:pPr>
      <w:spacing w:after="200" w:line="276" w:lineRule="auto"/>
      <w:ind w:left="720"/>
      <w:contextualSpacing/>
      <w:jc w:val="left"/>
    </w:pPr>
    <w:rPr>
      <w:rFonts w:ascii="Calibri" w:eastAsia="Calibri" w:hAnsi="Calibri"/>
      <w:noProof/>
      <w:sz w:val="22"/>
      <w:szCs w:val="22"/>
    </w:rPr>
  </w:style>
  <w:style w:type="character" w:customStyle="1" w:styleId="AlaviitteentekstiChar">
    <w:name w:val="Alaviitteen teksti Char"/>
    <w:link w:val="Alaviitteenteksti"/>
    <w:uiPriority w:val="99"/>
    <w:semiHidden/>
    <w:rsid w:val="00367AF3"/>
    <w:rPr>
      <w:lang w:eastAsia="fi-FI"/>
    </w:rPr>
  </w:style>
  <w:style w:type="character" w:customStyle="1" w:styleId="PivmrChar">
    <w:name w:val="Päivämäärä Char"/>
    <w:link w:val="Pivmr"/>
    <w:uiPriority w:val="99"/>
    <w:rsid w:val="00F01BFA"/>
    <w:rPr>
      <w:sz w:val="24"/>
      <w:lang w:eastAsia="fi-FI"/>
    </w:rPr>
  </w:style>
  <w:style w:type="character" w:styleId="Kommentinviite">
    <w:name w:val="annotation reference"/>
    <w:uiPriority w:val="99"/>
    <w:semiHidden/>
    <w:unhideWhenUsed/>
    <w:rsid w:val="00601674"/>
    <w:rPr>
      <w:sz w:val="16"/>
      <w:szCs w:val="16"/>
    </w:rPr>
  </w:style>
  <w:style w:type="paragraph" w:styleId="Kommentinotsikko">
    <w:name w:val="annotation subject"/>
    <w:basedOn w:val="Kommentinteksti"/>
    <w:next w:val="Kommentinteksti"/>
    <w:link w:val="KommentinotsikkoChar"/>
    <w:uiPriority w:val="99"/>
    <w:semiHidden/>
    <w:unhideWhenUsed/>
    <w:rsid w:val="00601674"/>
    <w:rPr>
      <w:b/>
      <w:bCs/>
    </w:rPr>
  </w:style>
  <w:style w:type="character" w:customStyle="1" w:styleId="KommentintekstiChar">
    <w:name w:val="Kommentin teksti Char"/>
    <w:link w:val="Kommentinteksti"/>
    <w:semiHidden/>
    <w:rsid w:val="00601674"/>
    <w:rPr>
      <w:lang w:bidi="fi-FI"/>
    </w:rPr>
  </w:style>
  <w:style w:type="character" w:customStyle="1" w:styleId="KommentinotsikkoChar">
    <w:name w:val="Kommentin otsikko Char"/>
    <w:basedOn w:val="KommentintekstiChar"/>
    <w:link w:val="Kommentinotsikko"/>
    <w:rsid w:val="00601674"/>
    <w:rPr>
      <w:lang w:bidi="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varo.tukes.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A766B-7733-4796-BC33-BA6A8AD9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154</TotalTime>
  <Pages>9</Pages>
  <Words>2128</Words>
  <Characters>17244</Characters>
  <Application>Microsoft Office Word</Application>
  <DocSecurity>0</DocSecurity>
  <PresentationFormat>Microsoft Word 14.0</PresentationFormat>
  <Lines>143</Lines>
  <Paragraphs>38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19334</CharactersWithSpaces>
  <SharedDoc>false</SharedDoc>
  <HLinks>
    <vt:vector size="6" baseType="variant">
      <vt:variant>
        <vt:i4>5636109</vt:i4>
      </vt:variant>
      <vt:variant>
        <vt:i4>33</vt:i4>
      </vt:variant>
      <vt:variant>
        <vt:i4>0</vt:i4>
      </vt:variant>
      <vt:variant>
        <vt:i4>5</vt:i4>
      </vt:variant>
      <vt:variant>
        <vt:lpwstr>http://varo.tukes.fi/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Brykman</dc:creator>
  <cp:keywords>EL4</cp:keywords>
  <cp:lastModifiedBy>Tiuttu Emilia (TEM)</cp:lastModifiedBy>
  <cp:revision>11</cp:revision>
  <cp:lastPrinted>2014-07-09T10:37:00Z</cp:lastPrinted>
  <dcterms:created xsi:type="dcterms:W3CDTF">2019-10-08T07:17:00Z</dcterms:created>
  <dcterms:modified xsi:type="dcterms:W3CDTF">2020-04-07T12:24:00Z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34000</vt:lpwstr>
  </property>
  <property fmtid="{D5CDD505-2E9C-101B-9397-08002B2CF9AE}" pid="7" name="Formatting">
    <vt:lpwstr>4.1</vt:lpwstr>
  </property>
  <property fmtid="{D5CDD505-2E9C-101B-9397-08002B2CF9AE}" pid="8" name="Last edited using">
    <vt:lpwstr>EL 4.6 Build 34000</vt:lpwstr>
  </property>
  <property fmtid="{D5CDD505-2E9C-101B-9397-08002B2CF9AE}" pid="9" name="EL_Author">
    <vt:lpwstr>Liliana Brykman</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ies>
</file>